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olor w:val="5B9BD5" w:themeColor="accent1"/>
          <w14:textFill>
            <w14:solidFill>
              <w14:schemeClr w14:val="accent1"/>
            </w14:solidFill>
          </w14:textFill>
        </w:rPr>
        <w:id w:val="-1659838850"/>
        <w:docPartObj>
          <w:docPartGallery w:val="AutoText"/>
        </w:docPartObj>
      </w:sdtPr>
      <w:sdtEndPr>
        <w:rPr>
          <w:b/>
          <w:iCs/>
          <w:color w:val="auto"/>
        </w:rPr>
      </w:sdtEndPr>
      <w:sdtContent>
        <w:p w14:paraId="647EF043">
          <w:pPr>
            <w:pStyle w:val="48"/>
            <w:spacing w:before="1540" w:after="240"/>
            <w:jc w:val="center"/>
            <w:rPr>
              <w:color w:val="5B9BD5" w:themeColor="accent1"/>
              <w14:textFill>
                <w14:solidFill>
                  <w14:schemeClr w14:val="accent1"/>
                </w14:solidFill>
              </w14:textFill>
            </w:rPr>
          </w:pPr>
          <w:r>
            <w:rPr>
              <w:color w:val="5B9BD5" w:themeColor="accent1"/>
              <w:lang w:val="en-US"/>
              <w14:textFill>
                <w14:solidFill>
                  <w14:schemeClr w14:val="accent1"/>
                </w14:solidFill>
              </w14:textFill>
            </w:rPr>
            <w:drawing>
              <wp:inline distT="0" distB="0" distL="0" distR="0">
                <wp:extent cx="1417320" cy="75057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hAnsiTheme="majorHAnsi" w:eastAsiaTheme="majorEastAsia" w:cstheme="majorBidi"/>
              <w:caps/>
              <w:color w:val="5B9BD5" w:themeColor="accent1"/>
              <w:sz w:val="72"/>
              <w:szCs w:val="72"/>
              <w14:textFill>
                <w14:solidFill>
                  <w14:schemeClr w14:val="accent1"/>
                </w14:solidFill>
              </w14:textFill>
            </w:rPr>
            <w:alias w:val="Title"/>
            <w:id w:val="1735040861"/>
            <w:placeholder>
              <w:docPart w:val="C12632FD5FAA8B47A06210A09748D7AE"/>
            </w:placeholder>
            <w: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caps/>
              <w:color w:val="5B9BD5" w:themeColor="accent1"/>
              <w:sz w:val="80"/>
              <w:szCs w:val="80"/>
              <w14:textFill>
                <w14:solidFill>
                  <w14:schemeClr w14:val="accent1"/>
                </w14:solidFill>
              </w14:textFill>
            </w:rPr>
          </w:sdtEndPr>
          <w:sdtContent>
            <w:p w14:paraId="74D41BE5">
              <w:pPr>
                <w:pStyle w:val="48"/>
                <w:pBdr>
                  <w:top w:val="single" w:color="5B9BD5" w:themeColor="accent1" w:sz="6" w:space="6"/>
                  <w:bottom w:val="single" w:color="5B9BD5" w:themeColor="accent1" w:sz="6" w:space="6"/>
                </w:pBdr>
                <w:spacing w:after="240"/>
                <w:jc w:val="center"/>
                <w:rPr>
                  <w:rFonts w:asciiTheme="majorHAnsi" w:hAnsiTheme="majorHAnsi" w:eastAsiaTheme="majorEastAsia" w:cstheme="majorBidi"/>
                  <w:caps/>
                  <w:color w:val="5B9BD5" w:themeColor="accent1"/>
                  <w:sz w:val="80"/>
                  <w:szCs w:val="80"/>
                  <w14:textFill>
                    <w14:solidFill>
                      <w14:schemeClr w14:val="accent1"/>
                    </w14:solidFill>
                  </w14:textFill>
                </w:rPr>
              </w:pPr>
              <w:r>
                <w:rPr>
                  <w:rFonts w:asciiTheme="majorHAnsi" w:hAnsiTheme="majorHAnsi" w:eastAsiaTheme="majorEastAsia" w:cstheme="majorBidi"/>
                  <w:b/>
                  <w:iCs/>
                  <w:color w:val="1F4E79" w:themeColor="accent1" w:themeShade="80"/>
                  <w:sz w:val="60"/>
                  <w:szCs w:val="60"/>
                </w:rPr>
                <w:t>Balochistan Transgender Rights Policy</w:t>
              </w:r>
            </w:p>
          </w:sdtContent>
        </w:sdt>
        <w:sdt>
          <w:sdtPr>
            <w:rPr>
              <w:color w:val="5B9BD5" w:themeColor="accent1"/>
              <w:sz w:val="28"/>
              <w:szCs w:val="28"/>
              <w14:textFill>
                <w14:solidFill>
                  <w14:schemeClr w14:val="accent1"/>
                </w14:solidFill>
              </w14:textFill>
            </w:rPr>
            <w:alias w:val="Subtitle"/>
            <w:id w:val="328029620"/>
            <w:dataBinding w:prefixMappings="xmlns:ns0='http://purl.org/dc/elements/1.1/' xmlns:ns1='http://schemas.openxmlformats.org/package/2006/metadata/core-properties' " w:xpath="/ns1:coreProperties[1]/ns0:subject[1]" w:storeItemID="{6C3C8BC8-F283-45AE-878A-BAB7291924A1}"/>
            <w:text/>
          </w:sdtPr>
          <w:sdtEndPr>
            <w:rPr>
              <w:color w:val="5B9BD5" w:themeColor="accent1"/>
              <w:sz w:val="28"/>
              <w:szCs w:val="28"/>
              <w14:textFill>
                <w14:solidFill>
                  <w14:schemeClr w14:val="accent1"/>
                </w14:solidFill>
              </w14:textFill>
            </w:rPr>
          </w:sdtEndPr>
          <w:sdtContent>
            <w:p w14:paraId="083F0D11">
              <w:pPr>
                <w:pStyle w:val="48"/>
                <w:jc w:val="center"/>
                <w:rPr>
                  <w:color w:val="5B9BD5" w:themeColor="accent1"/>
                  <w:sz w:val="28"/>
                  <w:szCs w:val="28"/>
                  <w14:textFill>
                    <w14:solidFill>
                      <w14:schemeClr w14:val="accent1"/>
                    </w14:solidFill>
                  </w14:textFill>
                </w:rPr>
              </w:pPr>
              <w:r>
                <w:rPr>
                  <w:color w:val="5B9BD5" w:themeColor="accent1"/>
                  <w:sz w:val="28"/>
                  <w:szCs w:val="28"/>
                  <w14:textFill>
                    <w14:solidFill>
                      <w14:schemeClr w14:val="accent1"/>
                    </w14:solidFill>
                  </w14:textFill>
                </w:rPr>
                <w:t>Government of Balochistan</w:t>
              </w:r>
            </w:p>
          </w:sdtContent>
        </w:sdt>
        <w:p w14:paraId="75E4F5CD">
          <w:pPr>
            <w:pStyle w:val="48"/>
            <w:spacing w:before="480"/>
            <w:jc w:val="center"/>
            <w:rPr>
              <w:color w:val="5B9BD5" w:themeColor="accent1"/>
              <w14:textFill>
                <w14:solidFill>
                  <w14:schemeClr w14:val="accent1"/>
                </w14:solidFill>
              </w14:textFill>
            </w:rPr>
          </w:pPr>
          <w:r>
            <w:rPr>
              <w:color w:val="5B9BD5" w:themeColor="accent1"/>
              <w:lang w:val="en-US"/>
              <w14:textFill>
                <w14:solidFill>
                  <w14:schemeClr w14:val="accent1"/>
                </w14:solidFill>
              </w14:textFill>
            </w:rPr>
            <w:drawing>
              <wp:inline distT="0" distB="0" distL="0" distR="0">
                <wp:extent cx="758825" cy="478790"/>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B8D0D4A">
          <w:pPr>
            <w:spacing w:before="0" w:after="0" w:line="240" w:lineRule="auto"/>
            <w:jc w:val="left"/>
            <w:rPr>
              <w:b/>
              <w:iCs/>
            </w:rPr>
          </w:pPr>
          <w:r>
            <w:rPr>
              <w:b/>
              <w:iCs/>
            </w:rPr>
            <w:br w:type="page"/>
          </w:r>
        </w:p>
        <w:sdt>
          <w:sdtPr>
            <w:rPr>
              <w:rFonts w:ascii="Garamond" w:hAnsi="Garamond" w:eastAsiaTheme="minorEastAsia" w:cstheme="minorBidi"/>
              <w:b w:val="0"/>
              <w:bCs w:val="0"/>
              <w:color w:val="auto"/>
              <w:sz w:val="24"/>
              <w:szCs w:val="22"/>
            </w:rPr>
            <w:id w:val="214177785"/>
            <w:docPartObj>
              <w:docPartGallery w:val="Table of Contents"/>
              <w:docPartUnique/>
            </w:docPartObj>
          </w:sdtPr>
          <w:sdtEndPr>
            <w:rPr>
              <w:rFonts w:ascii="Garamond" w:hAnsi="Garamond" w:eastAsiaTheme="minorEastAsia" w:cstheme="minorBidi"/>
              <w:b w:val="0"/>
              <w:bCs w:val="0"/>
              <w:color w:val="auto"/>
              <w:sz w:val="24"/>
              <w:szCs w:val="22"/>
            </w:rPr>
          </w:sdtEndPr>
          <w:sdtContent>
            <w:p w14:paraId="0D299707">
              <w:pPr>
                <w:pStyle w:val="59"/>
              </w:pPr>
              <w:r>
                <w:t>Table of Contents</w:t>
              </w:r>
            </w:p>
            <w:p w14:paraId="18610B1A">
              <w:pPr>
                <w:pStyle w:val="26"/>
                <w:tabs>
                  <w:tab w:val="right" w:leader="dot" w:pos="9010"/>
                </w:tabs>
                <w:rPr>
                  <w:b w:val="0"/>
                  <w:bCs w:val="0"/>
                  <w:caps w:val="0"/>
                  <w:sz w:val="28"/>
                  <w:szCs w:val="24"/>
                  <w:lang w:eastAsia="en-GB"/>
                </w:rPr>
              </w:pPr>
              <w:r>
                <w:rPr>
                  <w:b w:val="0"/>
                  <w:bCs w:val="0"/>
                  <w:sz w:val="28"/>
                  <w:szCs w:val="24"/>
                </w:rPr>
                <w:fldChar w:fldCharType="begin"/>
              </w:r>
              <w:r>
                <w:rPr>
                  <w:sz w:val="28"/>
                  <w:szCs w:val="24"/>
                </w:rPr>
                <w:instrText xml:space="preserve"> TOC \o "1-3" \h \z \u </w:instrText>
              </w:r>
              <w:r>
                <w:rPr>
                  <w:b w:val="0"/>
                  <w:bCs w:val="0"/>
                  <w:sz w:val="28"/>
                  <w:szCs w:val="24"/>
                </w:rPr>
                <w:fldChar w:fldCharType="separate"/>
              </w:r>
              <w:r>
                <w:fldChar w:fldCharType="begin"/>
              </w:r>
              <w:r>
                <w:instrText xml:space="preserve"> HYPERLINK \l "_Toc3272775" </w:instrText>
              </w:r>
              <w:r>
                <w:fldChar w:fldCharType="separate"/>
              </w:r>
              <w:r>
                <w:rPr>
                  <w:rStyle w:val="20"/>
                  <w:sz w:val="24"/>
                </w:rPr>
                <w:t>Background</w:t>
              </w:r>
              <w:r>
                <w:rPr>
                  <w:sz w:val="24"/>
                </w:rPr>
                <w:tab/>
              </w:r>
              <w:r>
                <w:rPr>
                  <w:sz w:val="24"/>
                </w:rPr>
                <w:fldChar w:fldCharType="begin"/>
              </w:r>
              <w:r>
                <w:rPr>
                  <w:sz w:val="24"/>
                </w:rPr>
                <w:instrText xml:space="preserve"> PAGEREF _Toc3272775 \h </w:instrText>
              </w:r>
              <w:r>
                <w:rPr>
                  <w:sz w:val="24"/>
                </w:rPr>
                <w:fldChar w:fldCharType="separate"/>
              </w:r>
              <w:r>
                <w:rPr>
                  <w:sz w:val="24"/>
                </w:rPr>
                <w:t>3</w:t>
              </w:r>
              <w:r>
                <w:rPr>
                  <w:sz w:val="24"/>
                </w:rPr>
                <w:fldChar w:fldCharType="end"/>
              </w:r>
              <w:r>
                <w:rPr>
                  <w:sz w:val="24"/>
                </w:rPr>
                <w:fldChar w:fldCharType="end"/>
              </w:r>
            </w:p>
            <w:p w14:paraId="5DF3A7A8">
              <w:pPr>
                <w:pStyle w:val="26"/>
                <w:tabs>
                  <w:tab w:val="right" w:leader="dot" w:pos="9010"/>
                </w:tabs>
                <w:rPr>
                  <w:b w:val="0"/>
                  <w:bCs w:val="0"/>
                  <w:caps w:val="0"/>
                  <w:sz w:val="28"/>
                  <w:szCs w:val="24"/>
                  <w:lang w:eastAsia="en-GB"/>
                </w:rPr>
              </w:pPr>
              <w:r>
                <w:fldChar w:fldCharType="begin"/>
              </w:r>
              <w:r>
                <w:instrText xml:space="preserve"> HYPERLINK \l "_Toc3272776" </w:instrText>
              </w:r>
              <w:r>
                <w:fldChar w:fldCharType="separate"/>
              </w:r>
              <w:r>
                <w:rPr>
                  <w:rStyle w:val="20"/>
                  <w:sz w:val="24"/>
                </w:rPr>
                <w:t>Vision</w:t>
              </w:r>
              <w:r>
                <w:rPr>
                  <w:sz w:val="24"/>
                </w:rPr>
                <w:tab/>
              </w:r>
              <w:r>
                <w:rPr>
                  <w:sz w:val="24"/>
                </w:rPr>
                <w:fldChar w:fldCharType="begin"/>
              </w:r>
              <w:r>
                <w:rPr>
                  <w:sz w:val="24"/>
                </w:rPr>
                <w:instrText xml:space="preserve"> PAGEREF _Toc3272776 \h </w:instrText>
              </w:r>
              <w:r>
                <w:rPr>
                  <w:sz w:val="24"/>
                </w:rPr>
                <w:fldChar w:fldCharType="separate"/>
              </w:r>
              <w:r>
                <w:rPr>
                  <w:sz w:val="24"/>
                </w:rPr>
                <w:t>4</w:t>
              </w:r>
              <w:r>
                <w:rPr>
                  <w:sz w:val="24"/>
                </w:rPr>
                <w:fldChar w:fldCharType="end"/>
              </w:r>
              <w:r>
                <w:rPr>
                  <w:sz w:val="24"/>
                </w:rPr>
                <w:fldChar w:fldCharType="end"/>
              </w:r>
            </w:p>
            <w:p w14:paraId="6773AF3F">
              <w:pPr>
                <w:pStyle w:val="26"/>
                <w:tabs>
                  <w:tab w:val="right" w:leader="dot" w:pos="9010"/>
                </w:tabs>
                <w:rPr>
                  <w:b w:val="0"/>
                  <w:bCs w:val="0"/>
                  <w:caps w:val="0"/>
                  <w:sz w:val="28"/>
                  <w:szCs w:val="24"/>
                  <w:lang w:eastAsia="en-GB"/>
                </w:rPr>
              </w:pPr>
              <w:r>
                <w:fldChar w:fldCharType="begin"/>
              </w:r>
              <w:r>
                <w:instrText xml:space="preserve"> HYPERLINK \l "_Toc3272777" </w:instrText>
              </w:r>
              <w:r>
                <w:fldChar w:fldCharType="separate"/>
              </w:r>
              <w:r>
                <w:rPr>
                  <w:rStyle w:val="20"/>
                  <w:sz w:val="24"/>
                </w:rPr>
                <w:t>Mission</w:t>
              </w:r>
              <w:r>
                <w:rPr>
                  <w:sz w:val="24"/>
                </w:rPr>
                <w:tab/>
              </w:r>
              <w:r>
                <w:rPr>
                  <w:sz w:val="24"/>
                </w:rPr>
                <w:fldChar w:fldCharType="begin"/>
              </w:r>
              <w:r>
                <w:rPr>
                  <w:sz w:val="24"/>
                </w:rPr>
                <w:instrText xml:space="preserve"> PAGEREF _Toc3272777 \h </w:instrText>
              </w:r>
              <w:r>
                <w:rPr>
                  <w:sz w:val="24"/>
                </w:rPr>
                <w:fldChar w:fldCharType="separate"/>
              </w:r>
              <w:r>
                <w:rPr>
                  <w:sz w:val="24"/>
                </w:rPr>
                <w:t>4</w:t>
              </w:r>
              <w:r>
                <w:rPr>
                  <w:sz w:val="24"/>
                </w:rPr>
                <w:fldChar w:fldCharType="end"/>
              </w:r>
              <w:r>
                <w:rPr>
                  <w:sz w:val="24"/>
                </w:rPr>
                <w:fldChar w:fldCharType="end"/>
              </w:r>
            </w:p>
            <w:p w14:paraId="5C16EE35">
              <w:pPr>
                <w:pStyle w:val="27"/>
                <w:tabs>
                  <w:tab w:val="right" w:leader="dot" w:pos="9010"/>
                </w:tabs>
                <w:rPr>
                  <w:smallCaps w:val="0"/>
                  <w:sz w:val="28"/>
                  <w:szCs w:val="24"/>
                  <w:lang w:eastAsia="en-GB"/>
                </w:rPr>
              </w:pPr>
              <w:r>
                <w:fldChar w:fldCharType="begin"/>
              </w:r>
              <w:r>
                <w:instrText xml:space="preserve"> HYPERLINK \l "_Toc3272778" </w:instrText>
              </w:r>
              <w:r>
                <w:fldChar w:fldCharType="separate"/>
              </w:r>
              <w:r>
                <w:rPr>
                  <w:rStyle w:val="20"/>
                  <w:sz w:val="24"/>
                </w:rPr>
                <w:t>Right to Life, Liberty and Security</w:t>
              </w:r>
              <w:r>
                <w:rPr>
                  <w:sz w:val="24"/>
                </w:rPr>
                <w:tab/>
              </w:r>
              <w:r>
                <w:rPr>
                  <w:sz w:val="24"/>
                </w:rPr>
                <w:fldChar w:fldCharType="begin"/>
              </w:r>
              <w:r>
                <w:rPr>
                  <w:sz w:val="24"/>
                </w:rPr>
                <w:instrText xml:space="preserve"> PAGEREF _Toc3272778 \h </w:instrText>
              </w:r>
              <w:r>
                <w:rPr>
                  <w:sz w:val="24"/>
                </w:rPr>
                <w:fldChar w:fldCharType="separate"/>
              </w:r>
              <w:r>
                <w:rPr>
                  <w:sz w:val="24"/>
                </w:rPr>
                <w:t>5</w:t>
              </w:r>
              <w:r>
                <w:rPr>
                  <w:sz w:val="24"/>
                </w:rPr>
                <w:fldChar w:fldCharType="end"/>
              </w:r>
              <w:r>
                <w:rPr>
                  <w:sz w:val="24"/>
                </w:rPr>
                <w:fldChar w:fldCharType="end"/>
              </w:r>
            </w:p>
            <w:p w14:paraId="76BD5DCA">
              <w:pPr>
                <w:pStyle w:val="27"/>
                <w:tabs>
                  <w:tab w:val="right" w:leader="dot" w:pos="9010"/>
                </w:tabs>
                <w:rPr>
                  <w:smallCaps w:val="0"/>
                  <w:sz w:val="28"/>
                  <w:szCs w:val="24"/>
                  <w:lang w:eastAsia="en-GB"/>
                </w:rPr>
              </w:pPr>
              <w:r>
                <w:fldChar w:fldCharType="begin"/>
              </w:r>
              <w:r>
                <w:instrText xml:space="preserve"> HYPERLINK \l "_Toc3272779" </w:instrText>
              </w:r>
              <w:r>
                <w:fldChar w:fldCharType="separate"/>
              </w:r>
              <w:r>
                <w:rPr>
                  <w:rStyle w:val="20"/>
                  <w:sz w:val="24"/>
                </w:rPr>
                <w:t>Right to Identification and Registration</w:t>
              </w:r>
              <w:r>
                <w:rPr>
                  <w:sz w:val="24"/>
                </w:rPr>
                <w:tab/>
              </w:r>
              <w:r>
                <w:rPr>
                  <w:sz w:val="24"/>
                </w:rPr>
                <w:fldChar w:fldCharType="begin"/>
              </w:r>
              <w:r>
                <w:rPr>
                  <w:sz w:val="24"/>
                </w:rPr>
                <w:instrText xml:space="preserve"> PAGEREF _Toc3272779 \h </w:instrText>
              </w:r>
              <w:r>
                <w:rPr>
                  <w:sz w:val="24"/>
                </w:rPr>
                <w:fldChar w:fldCharType="separate"/>
              </w:r>
              <w:r>
                <w:rPr>
                  <w:sz w:val="24"/>
                </w:rPr>
                <w:t>5</w:t>
              </w:r>
              <w:r>
                <w:rPr>
                  <w:sz w:val="24"/>
                </w:rPr>
                <w:fldChar w:fldCharType="end"/>
              </w:r>
              <w:r>
                <w:rPr>
                  <w:sz w:val="24"/>
                </w:rPr>
                <w:fldChar w:fldCharType="end"/>
              </w:r>
            </w:p>
            <w:p w14:paraId="59C3F5DC">
              <w:pPr>
                <w:pStyle w:val="27"/>
                <w:tabs>
                  <w:tab w:val="right" w:leader="dot" w:pos="9010"/>
                </w:tabs>
                <w:rPr>
                  <w:smallCaps w:val="0"/>
                  <w:sz w:val="28"/>
                  <w:szCs w:val="24"/>
                  <w:lang w:eastAsia="en-GB"/>
                </w:rPr>
              </w:pPr>
              <w:r>
                <w:fldChar w:fldCharType="begin"/>
              </w:r>
              <w:r>
                <w:instrText xml:space="preserve"> HYPERLINK \l "_Toc3272780" </w:instrText>
              </w:r>
              <w:r>
                <w:fldChar w:fldCharType="separate"/>
              </w:r>
              <w:r>
                <w:rPr>
                  <w:rStyle w:val="20"/>
                  <w:sz w:val="24"/>
                </w:rPr>
                <w:t>Freedom from Discrimination and Harassment</w:t>
              </w:r>
              <w:r>
                <w:rPr>
                  <w:sz w:val="24"/>
                </w:rPr>
                <w:tab/>
              </w:r>
              <w:r>
                <w:rPr>
                  <w:sz w:val="24"/>
                </w:rPr>
                <w:fldChar w:fldCharType="begin"/>
              </w:r>
              <w:r>
                <w:rPr>
                  <w:sz w:val="24"/>
                </w:rPr>
                <w:instrText xml:space="preserve"> PAGEREF _Toc3272780 \h </w:instrText>
              </w:r>
              <w:r>
                <w:rPr>
                  <w:sz w:val="24"/>
                </w:rPr>
                <w:fldChar w:fldCharType="separate"/>
              </w:r>
              <w:r>
                <w:rPr>
                  <w:sz w:val="24"/>
                </w:rPr>
                <w:t>6</w:t>
              </w:r>
              <w:r>
                <w:rPr>
                  <w:sz w:val="24"/>
                </w:rPr>
                <w:fldChar w:fldCharType="end"/>
              </w:r>
              <w:r>
                <w:rPr>
                  <w:sz w:val="24"/>
                </w:rPr>
                <w:fldChar w:fldCharType="end"/>
              </w:r>
            </w:p>
            <w:p w14:paraId="4DBBCCEA">
              <w:pPr>
                <w:pStyle w:val="27"/>
                <w:tabs>
                  <w:tab w:val="right" w:leader="dot" w:pos="9010"/>
                </w:tabs>
                <w:rPr>
                  <w:smallCaps w:val="0"/>
                  <w:sz w:val="28"/>
                  <w:szCs w:val="24"/>
                  <w:lang w:eastAsia="en-GB"/>
                </w:rPr>
              </w:pPr>
              <w:r>
                <w:fldChar w:fldCharType="begin"/>
              </w:r>
              <w:r>
                <w:instrText xml:space="preserve"> HYPERLINK \l "_Toc3272781" </w:instrText>
              </w:r>
              <w:r>
                <w:fldChar w:fldCharType="separate"/>
              </w:r>
              <w:r>
                <w:rPr>
                  <w:rStyle w:val="20"/>
                  <w:sz w:val="24"/>
                </w:rPr>
                <w:t>Right to Health</w:t>
              </w:r>
              <w:r>
                <w:rPr>
                  <w:sz w:val="24"/>
                </w:rPr>
                <w:tab/>
              </w:r>
              <w:r>
                <w:rPr>
                  <w:sz w:val="24"/>
                </w:rPr>
                <w:fldChar w:fldCharType="begin"/>
              </w:r>
              <w:r>
                <w:rPr>
                  <w:sz w:val="24"/>
                </w:rPr>
                <w:instrText xml:space="preserve"> PAGEREF _Toc3272781 \h </w:instrText>
              </w:r>
              <w:r>
                <w:rPr>
                  <w:sz w:val="24"/>
                </w:rPr>
                <w:fldChar w:fldCharType="separate"/>
              </w:r>
              <w:r>
                <w:rPr>
                  <w:sz w:val="24"/>
                </w:rPr>
                <w:t>7</w:t>
              </w:r>
              <w:r>
                <w:rPr>
                  <w:sz w:val="24"/>
                </w:rPr>
                <w:fldChar w:fldCharType="end"/>
              </w:r>
              <w:r>
                <w:rPr>
                  <w:sz w:val="24"/>
                </w:rPr>
                <w:fldChar w:fldCharType="end"/>
              </w:r>
            </w:p>
            <w:p w14:paraId="38B11E9A">
              <w:pPr>
                <w:pStyle w:val="27"/>
                <w:tabs>
                  <w:tab w:val="right" w:leader="dot" w:pos="9010"/>
                </w:tabs>
                <w:rPr>
                  <w:smallCaps w:val="0"/>
                  <w:sz w:val="28"/>
                  <w:szCs w:val="24"/>
                  <w:lang w:eastAsia="en-GB"/>
                </w:rPr>
              </w:pPr>
              <w:r>
                <w:fldChar w:fldCharType="begin"/>
              </w:r>
              <w:r>
                <w:instrText xml:space="preserve"> HYPERLINK \l "_Toc3272782" </w:instrText>
              </w:r>
              <w:r>
                <w:fldChar w:fldCharType="separate"/>
              </w:r>
              <w:r>
                <w:rPr>
                  <w:rStyle w:val="20"/>
                  <w:sz w:val="24"/>
                </w:rPr>
                <w:t>Right to Education</w:t>
              </w:r>
              <w:r>
                <w:rPr>
                  <w:sz w:val="24"/>
                </w:rPr>
                <w:tab/>
              </w:r>
              <w:r>
                <w:rPr>
                  <w:sz w:val="24"/>
                </w:rPr>
                <w:fldChar w:fldCharType="begin"/>
              </w:r>
              <w:r>
                <w:rPr>
                  <w:sz w:val="24"/>
                </w:rPr>
                <w:instrText xml:space="preserve"> PAGEREF _Toc3272782 \h </w:instrText>
              </w:r>
              <w:r>
                <w:rPr>
                  <w:sz w:val="24"/>
                </w:rPr>
                <w:fldChar w:fldCharType="separate"/>
              </w:r>
              <w:r>
                <w:rPr>
                  <w:sz w:val="24"/>
                </w:rPr>
                <w:t>8</w:t>
              </w:r>
              <w:r>
                <w:rPr>
                  <w:sz w:val="24"/>
                </w:rPr>
                <w:fldChar w:fldCharType="end"/>
              </w:r>
              <w:r>
                <w:rPr>
                  <w:sz w:val="24"/>
                </w:rPr>
                <w:fldChar w:fldCharType="end"/>
              </w:r>
            </w:p>
            <w:p w14:paraId="7DEFBB81">
              <w:pPr>
                <w:pStyle w:val="27"/>
                <w:tabs>
                  <w:tab w:val="right" w:leader="dot" w:pos="9010"/>
                </w:tabs>
                <w:rPr>
                  <w:smallCaps w:val="0"/>
                  <w:sz w:val="28"/>
                  <w:szCs w:val="24"/>
                  <w:lang w:eastAsia="en-GB"/>
                </w:rPr>
              </w:pPr>
              <w:r>
                <w:fldChar w:fldCharType="begin"/>
              </w:r>
              <w:r>
                <w:instrText xml:space="preserve"> HYPERLINK \l "_Toc3272783" </w:instrText>
              </w:r>
              <w:r>
                <w:fldChar w:fldCharType="separate"/>
              </w:r>
              <w:r>
                <w:rPr>
                  <w:rStyle w:val="20"/>
                  <w:sz w:val="24"/>
                </w:rPr>
                <w:t>Right to Employment</w:t>
              </w:r>
              <w:r>
                <w:rPr>
                  <w:sz w:val="24"/>
                </w:rPr>
                <w:tab/>
              </w:r>
              <w:r>
                <w:rPr>
                  <w:sz w:val="24"/>
                </w:rPr>
                <w:fldChar w:fldCharType="begin"/>
              </w:r>
              <w:r>
                <w:rPr>
                  <w:sz w:val="24"/>
                </w:rPr>
                <w:instrText xml:space="preserve"> PAGEREF _Toc3272783 \h </w:instrText>
              </w:r>
              <w:r>
                <w:rPr>
                  <w:sz w:val="24"/>
                </w:rPr>
                <w:fldChar w:fldCharType="separate"/>
              </w:r>
              <w:r>
                <w:rPr>
                  <w:sz w:val="24"/>
                </w:rPr>
                <w:t>8</w:t>
              </w:r>
              <w:r>
                <w:rPr>
                  <w:sz w:val="24"/>
                </w:rPr>
                <w:fldChar w:fldCharType="end"/>
              </w:r>
              <w:r>
                <w:rPr>
                  <w:sz w:val="24"/>
                </w:rPr>
                <w:fldChar w:fldCharType="end"/>
              </w:r>
            </w:p>
            <w:p w14:paraId="70F94197">
              <w:pPr>
                <w:pStyle w:val="27"/>
                <w:tabs>
                  <w:tab w:val="right" w:leader="dot" w:pos="9010"/>
                </w:tabs>
                <w:rPr>
                  <w:smallCaps w:val="0"/>
                  <w:sz w:val="28"/>
                  <w:szCs w:val="24"/>
                  <w:lang w:eastAsia="en-GB"/>
                </w:rPr>
              </w:pPr>
              <w:r>
                <w:fldChar w:fldCharType="begin"/>
              </w:r>
              <w:r>
                <w:instrText xml:space="preserve"> HYPERLINK \l "_Toc3272784" </w:instrText>
              </w:r>
              <w:r>
                <w:fldChar w:fldCharType="separate"/>
              </w:r>
              <w:r>
                <w:rPr>
                  <w:rStyle w:val="20"/>
                  <w:sz w:val="24"/>
                </w:rPr>
                <w:t>Protection from Sexual Violence</w:t>
              </w:r>
              <w:r>
                <w:rPr>
                  <w:sz w:val="24"/>
                </w:rPr>
                <w:tab/>
              </w:r>
              <w:r>
                <w:rPr>
                  <w:sz w:val="24"/>
                </w:rPr>
                <w:fldChar w:fldCharType="begin"/>
              </w:r>
              <w:r>
                <w:rPr>
                  <w:sz w:val="24"/>
                </w:rPr>
                <w:instrText xml:space="preserve"> PAGEREF _Toc3272784 \h </w:instrText>
              </w:r>
              <w:r>
                <w:rPr>
                  <w:sz w:val="24"/>
                </w:rPr>
                <w:fldChar w:fldCharType="separate"/>
              </w:r>
              <w:r>
                <w:rPr>
                  <w:sz w:val="24"/>
                </w:rPr>
                <w:t>9</w:t>
              </w:r>
              <w:r>
                <w:rPr>
                  <w:sz w:val="24"/>
                </w:rPr>
                <w:fldChar w:fldCharType="end"/>
              </w:r>
              <w:r>
                <w:rPr>
                  <w:sz w:val="24"/>
                </w:rPr>
                <w:fldChar w:fldCharType="end"/>
              </w:r>
            </w:p>
            <w:p w14:paraId="25563644">
              <w:pPr>
                <w:pStyle w:val="27"/>
                <w:tabs>
                  <w:tab w:val="right" w:leader="dot" w:pos="9010"/>
                </w:tabs>
                <w:rPr>
                  <w:smallCaps w:val="0"/>
                  <w:sz w:val="28"/>
                  <w:szCs w:val="24"/>
                  <w:lang w:eastAsia="en-GB"/>
                </w:rPr>
              </w:pPr>
              <w:r>
                <w:fldChar w:fldCharType="begin"/>
              </w:r>
              <w:r>
                <w:instrText xml:space="preserve"> HYPERLINK \l "_Toc3272785" </w:instrText>
              </w:r>
              <w:r>
                <w:fldChar w:fldCharType="separate"/>
              </w:r>
              <w:r>
                <w:rPr>
                  <w:rStyle w:val="20"/>
                  <w:sz w:val="24"/>
                </w:rPr>
                <w:t>Right to Vote and Hold Public Office</w:t>
              </w:r>
              <w:r>
                <w:rPr>
                  <w:sz w:val="24"/>
                </w:rPr>
                <w:tab/>
              </w:r>
              <w:r>
                <w:rPr>
                  <w:sz w:val="24"/>
                </w:rPr>
                <w:fldChar w:fldCharType="begin"/>
              </w:r>
              <w:r>
                <w:rPr>
                  <w:sz w:val="24"/>
                </w:rPr>
                <w:instrText xml:space="preserve"> PAGEREF _Toc3272785 \h </w:instrText>
              </w:r>
              <w:r>
                <w:rPr>
                  <w:sz w:val="24"/>
                </w:rPr>
                <w:fldChar w:fldCharType="separate"/>
              </w:r>
              <w:r>
                <w:rPr>
                  <w:sz w:val="24"/>
                </w:rPr>
                <w:t>9</w:t>
              </w:r>
              <w:r>
                <w:rPr>
                  <w:sz w:val="24"/>
                </w:rPr>
                <w:fldChar w:fldCharType="end"/>
              </w:r>
              <w:r>
                <w:rPr>
                  <w:sz w:val="24"/>
                </w:rPr>
                <w:fldChar w:fldCharType="end"/>
              </w:r>
            </w:p>
            <w:p w14:paraId="776CA4A5">
              <w:pPr>
                <w:pStyle w:val="26"/>
                <w:tabs>
                  <w:tab w:val="right" w:leader="dot" w:pos="9010"/>
                </w:tabs>
                <w:rPr>
                  <w:b w:val="0"/>
                  <w:bCs w:val="0"/>
                  <w:caps w:val="0"/>
                  <w:sz w:val="28"/>
                  <w:szCs w:val="24"/>
                  <w:lang w:eastAsia="en-GB"/>
                </w:rPr>
              </w:pPr>
              <w:r>
                <w:fldChar w:fldCharType="begin"/>
              </w:r>
              <w:r>
                <w:instrText xml:space="preserve"> HYPERLINK \l "_Toc3272786" </w:instrText>
              </w:r>
              <w:r>
                <w:fldChar w:fldCharType="separate"/>
              </w:r>
              <w:r>
                <w:rPr>
                  <w:rStyle w:val="20"/>
                  <w:sz w:val="24"/>
                </w:rPr>
                <w:t>Institutions for Enforcement</w:t>
              </w:r>
              <w:r>
                <w:rPr>
                  <w:sz w:val="24"/>
                </w:rPr>
                <w:tab/>
              </w:r>
              <w:r>
                <w:rPr>
                  <w:sz w:val="24"/>
                </w:rPr>
                <w:fldChar w:fldCharType="begin"/>
              </w:r>
              <w:r>
                <w:rPr>
                  <w:sz w:val="24"/>
                </w:rPr>
                <w:instrText xml:space="preserve"> PAGEREF _Toc3272786 \h </w:instrText>
              </w:r>
              <w:r>
                <w:rPr>
                  <w:sz w:val="24"/>
                </w:rPr>
                <w:fldChar w:fldCharType="separate"/>
              </w:r>
              <w:r>
                <w:rPr>
                  <w:sz w:val="24"/>
                </w:rPr>
                <w:t>11</w:t>
              </w:r>
              <w:r>
                <w:rPr>
                  <w:sz w:val="24"/>
                </w:rPr>
                <w:fldChar w:fldCharType="end"/>
              </w:r>
              <w:r>
                <w:rPr>
                  <w:sz w:val="24"/>
                </w:rPr>
                <w:fldChar w:fldCharType="end"/>
              </w:r>
            </w:p>
            <w:p w14:paraId="0F93916E">
              <w:r>
                <w:rPr>
                  <w:b/>
                  <w:bCs/>
                  <w:sz w:val="28"/>
                  <w:szCs w:val="24"/>
                </w:rPr>
                <w:fldChar w:fldCharType="end"/>
              </w:r>
            </w:p>
          </w:sdtContent>
        </w:sdt>
        <w:p w14:paraId="3740CFD7">
          <w:pPr>
            <w:spacing w:before="0" w:after="0" w:line="240" w:lineRule="auto"/>
            <w:jc w:val="left"/>
          </w:pPr>
        </w:p>
        <w:p w14:paraId="64E58445">
          <w:pPr>
            <w:spacing w:before="0" w:after="0" w:line="240" w:lineRule="auto"/>
            <w:jc w:val="left"/>
          </w:pPr>
          <w:r>
            <w:br w:type="page"/>
          </w:r>
        </w:p>
      </w:sdtContent>
    </w:sdt>
    <w:p w14:paraId="5D5C49ED">
      <w:pPr>
        <w:pStyle w:val="25"/>
      </w:pPr>
      <w:r>
        <w:t>Balochistan Transgender Rights Policy</w:t>
      </w:r>
    </w:p>
    <w:p w14:paraId="388CE6D5">
      <w:pPr>
        <w:pStyle w:val="2"/>
      </w:pPr>
      <w:bookmarkStart w:id="0" w:name="_Toc3272775"/>
      <w:r>
        <w:t>Background</w:t>
      </w:r>
      <w:bookmarkEnd w:id="0"/>
    </w:p>
    <w:p w14:paraId="10805C23">
      <w:r>
        <w:t>The Government of Pakistan promulgated the Transgender Persons (Protection of Rights) Act 2018 which seeks to guarantee the rights and freedoms to transgender persons in Pakistan. The law, in alignment with the Constitution of Pakistan 1973, provides for constitutional rights enshrined in the Constitution to the marginalised and vulnerable transgender persons in Pakistan. The legislation employs the term ‘transgender’ persons as an umbrella term and defines it in the following words:</w:t>
      </w:r>
    </w:p>
    <w:p w14:paraId="248A5EBB">
      <w:pPr>
        <w:pStyle w:val="35"/>
        <w:numPr>
          <w:ilvl w:val="0"/>
          <w:numId w:val="1"/>
        </w:numPr>
      </w:pPr>
      <w:r>
        <w:t>intersex (khusra) with mixture of male and female genital features or congenital ambiguities; or</w:t>
      </w:r>
    </w:p>
    <w:p w14:paraId="6B60F211">
      <w:pPr>
        <w:pStyle w:val="35"/>
        <w:numPr>
          <w:ilvl w:val="0"/>
          <w:numId w:val="1"/>
        </w:numPr>
      </w:pPr>
      <w:r>
        <w:t>eunuch assigned male at birth, but undergoes genital excision or castration; or</w:t>
      </w:r>
    </w:p>
    <w:p w14:paraId="114757A5">
      <w:pPr>
        <w:pStyle w:val="35"/>
        <w:numPr>
          <w:ilvl w:val="0"/>
          <w:numId w:val="1"/>
        </w:numPr>
      </w:pPr>
      <w:r>
        <w:t>a transgender man, transgender woman, Khawaja Sira or any person whose gender identity or gender expression differs from the social norms and cultural expectations based on the sex they were assigned at the time of their birth.</w:t>
      </w:r>
      <w:r>
        <w:rPr>
          <w:rStyle w:val="18"/>
        </w:rPr>
        <w:footnoteReference w:id="0"/>
      </w:r>
    </w:p>
    <w:p w14:paraId="706FCC1C">
      <w:pPr>
        <w:ind w:firstLine="0"/>
      </w:pPr>
      <w:r>
        <w:t>Therefore, the term “transgender”</w:t>
      </w:r>
      <w:r>
        <w:rPr>
          <w:rStyle w:val="18"/>
        </w:rPr>
        <w:footnoteReference w:id="1"/>
      </w:r>
      <w:r>
        <w:t xml:space="preserve"> incorporates intersex persons, eunuchs as well as transgender persons who can claim protection under the law. The Act also grants transgender persons  the following rights in alignment with the Constitution of Pakistan 1973:</w:t>
      </w:r>
    </w:p>
    <w:p w14:paraId="2EFFD92B">
      <w:pPr>
        <w:pStyle w:val="35"/>
        <w:numPr>
          <w:ilvl w:val="0"/>
          <w:numId w:val="2"/>
        </w:numPr>
      </w:pPr>
      <w:r>
        <w:t>Right to identity;</w:t>
      </w:r>
      <w:r>
        <w:rPr>
          <w:rStyle w:val="18"/>
        </w:rPr>
        <w:footnoteReference w:id="2"/>
      </w:r>
    </w:p>
    <w:p w14:paraId="3910985A">
      <w:pPr>
        <w:pStyle w:val="35"/>
        <w:numPr>
          <w:ilvl w:val="0"/>
          <w:numId w:val="2"/>
        </w:numPr>
      </w:pPr>
      <w:r>
        <w:t>Prohibition against discrimination;</w:t>
      </w:r>
      <w:r>
        <w:rPr>
          <w:rStyle w:val="18"/>
        </w:rPr>
        <w:footnoteReference w:id="3"/>
      </w:r>
      <w:r>
        <w:t xml:space="preserve"> </w:t>
      </w:r>
    </w:p>
    <w:p w14:paraId="45B1261F">
      <w:pPr>
        <w:pStyle w:val="35"/>
        <w:numPr>
          <w:ilvl w:val="0"/>
          <w:numId w:val="2"/>
        </w:numPr>
      </w:pPr>
      <w:r>
        <w:t>Prohibition against harassment;</w:t>
      </w:r>
      <w:r>
        <w:rPr>
          <w:rStyle w:val="18"/>
        </w:rPr>
        <w:footnoteReference w:id="4"/>
      </w:r>
    </w:p>
    <w:p w14:paraId="31B76FAB">
      <w:pPr>
        <w:pStyle w:val="35"/>
        <w:numPr>
          <w:ilvl w:val="0"/>
          <w:numId w:val="2"/>
        </w:numPr>
      </w:pPr>
      <w:r>
        <w:t>Right to inherit;</w:t>
      </w:r>
      <w:r>
        <w:rPr>
          <w:rStyle w:val="18"/>
        </w:rPr>
        <w:footnoteReference w:id="5"/>
      </w:r>
    </w:p>
    <w:p w14:paraId="728E4865">
      <w:pPr>
        <w:pStyle w:val="35"/>
        <w:numPr>
          <w:ilvl w:val="0"/>
          <w:numId w:val="2"/>
        </w:numPr>
      </w:pPr>
      <w:r>
        <w:t>Right to education;</w:t>
      </w:r>
      <w:r>
        <w:rPr>
          <w:rStyle w:val="18"/>
        </w:rPr>
        <w:footnoteReference w:id="6"/>
      </w:r>
    </w:p>
    <w:p w14:paraId="52B74E87">
      <w:pPr>
        <w:pStyle w:val="35"/>
        <w:numPr>
          <w:ilvl w:val="0"/>
          <w:numId w:val="2"/>
        </w:numPr>
      </w:pPr>
      <w:r>
        <w:t>Right to employment;</w:t>
      </w:r>
      <w:r>
        <w:rPr>
          <w:rStyle w:val="18"/>
        </w:rPr>
        <w:footnoteReference w:id="7"/>
      </w:r>
    </w:p>
    <w:p w14:paraId="56B8DCC4">
      <w:pPr>
        <w:pStyle w:val="35"/>
        <w:numPr>
          <w:ilvl w:val="0"/>
          <w:numId w:val="2"/>
        </w:numPr>
      </w:pPr>
      <w:r>
        <w:t>Right to vote and hold public office;</w:t>
      </w:r>
      <w:r>
        <w:rPr>
          <w:rStyle w:val="18"/>
        </w:rPr>
        <w:footnoteReference w:id="8"/>
      </w:r>
    </w:p>
    <w:p w14:paraId="741B40C7">
      <w:pPr>
        <w:pStyle w:val="35"/>
        <w:numPr>
          <w:ilvl w:val="0"/>
          <w:numId w:val="2"/>
        </w:numPr>
      </w:pPr>
      <w:r>
        <w:t>Right to health;</w:t>
      </w:r>
      <w:r>
        <w:rPr>
          <w:rStyle w:val="18"/>
        </w:rPr>
        <w:footnoteReference w:id="9"/>
      </w:r>
    </w:p>
    <w:p w14:paraId="5940A955">
      <w:pPr>
        <w:pStyle w:val="35"/>
        <w:numPr>
          <w:ilvl w:val="0"/>
          <w:numId w:val="2"/>
        </w:numPr>
      </w:pPr>
      <w:r>
        <w:t>Right to assembly;</w:t>
      </w:r>
      <w:r>
        <w:rPr>
          <w:rStyle w:val="18"/>
        </w:rPr>
        <w:footnoteReference w:id="10"/>
      </w:r>
    </w:p>
    <w:p w14:paraId="0B9B0027">
      <w:pPr>
        <w:pStyle w:val="35"/>
        <w:numPr>
          <w:ilvl w:val="0"/>
          <w:numId w:val="2"/>
        </w:numPr>
      </w:pPr>
      <w:r>
        <w:t>Right of access to public places;</w:t>
      </w:r>
      <w:r>
        <w:rPr>
          <w:rStyle w:val="18"/>
        </w:rPr>
        <w:footnoteReference w:id="11"/>
      </w:r>
    </w:p>
    <w:p w14:paraId="69497C91">
      <w:pPr>
        <w:pStyle w:val="35"/>
        <w:numPr>
          <w:ilvl w:val="0"/>
          <w:numId w:val="2"/>
        </w:numPr>
      </w:pPr>
      <w:r>
        <w:t>Right to property.</w:t>
      </w:r>
      <w:r>
        <w:rPr>
          <w:rStyle w:val="18"/>
        </w:rPr>
        <w:footnoteReference w:id="12"/>
      </w:r>
    </w:p>
    <w:p w14:paraId="5F550BEA">
      <w:pPr>
        <w:ind w:firstLine="0"/>
      </w:pPr>
      <w:r>
        <w:t>Furthermore, the legislation also obligates provincial governments to protect and promote the rights of transgender persons in order to mainstream this marginalised group in the society. In this regard, the provincial governments are obligated to:</w:t>
      </w:r>
    </w:p>
    <w:p w14:paraId="06162409">
      <w:pPr>
        <w:pStyle w:val="35"/>
        <w:numPr>
          <w:ilvl w:val="0"/>
          <w:numId w:val="3"/>
        </w:numPr>
      </w:pPr>
      <w:r>
        <w:t>establish protection centres and safe houses to ensure the rescue, protection and rehabilitation of transgender persons in addition to providing medical facilities, psychological care, counselling and adult education to the transgender persons;</w:t>
      </w:r>
    </w:p>
    <w:p w14:paraId="60EFD15A">
      <w:pPr>
        <w:pStyle w:val="35"/>
        <w:numPr>
          <w:ilvl w:val="0"/>
          <w:numId w:val="3"/>
        </w:numPr>
      </w:pPr>
      <w:r>
        <w:t>establish separate prisons, jails, confinement cells, etc. for the transgender persons involved in any kind of offence or offences;</w:t>
      </w:r>
    </w:p>
    <w:p w14:paraId="04BD06B3">
      <w:pPr>
        <w:pStyle w:val="35"/>
        <w:numPr>
          <w:ilvl w:val="0"/>
          <w:numId w:val="3"/>
        </w:numPr>
      </w:pPr>
      <w:r>
        <w:t>institute mechanisms for the periodic sensitization and awareness of the public servants, in particular, but not limited to, law enforcement agencies and medical institutions, relating to the issues involving transgender persons and the requirement of protection and relief of such persons;</w:t>
      </w:r>
    </w:p>
    <w:p w14:paraId="5BCAA81C">
      <w:pPr>
        <w:pStyle w:val="35"/>
        <w:numPr>
          <w:ilvl w:val="0"/>
          <w:numId w:val="3"/>
        </w:numPr>
      </w:pPr>
      <w:r>
        <w:t>formulate special vocational training programmes to facilitate, promote and support livelihood for transgender persons;</w:t>
      </w:r>
    </w:p>
    <w:p w14:paraId="4775132E">
      <w:pPr>
        <w:pStyle w:val="35"/>
        <w:numPr>
          <w:ilvl w:val="0"/>
          <w:numId w:val="3"/>
        </w:numPr>
      </w:pPr>
      <w:r>
        <w:t>encourage transgender persons to start small businesses by providing incentives, easy loan schemes and grants; and</w:t>
      </w:r>
    </w:p>
    <w:p w14:paraId="32A69CDB">
      <w:pPr>
        <w:pStyle w:val="35"/>
        <w:numPr>
          <w:ilvl w:val="0"/>
          <w:numId w:val="3"/>
        </w:numPr>
      </w:pPr>
      <w:r>
        <w:t>take any other necessary measures to accomplish the objective of this Act.</w:t>
      </w:r>
      <w:r>
        <w:rPr>
          <w:rStyle w:val="18"/>
        </w:rPr>
        <w:footnoteReference w:id="13"/>
      </w:r>
    </w:p>
    <w:p w14:paraId="2CA5F799"/>
    <w:p w14:paraId="22F775F0">
      <w:r>
        <w:t>Unfortunately, the Transgender Protection of Rights Act has been temporarily suspended by the Federal Shariat Court which has led to an unprecedented rise in acts of violence against transgender persons</w:t>
      </w:r>
      <w:r>
        <w:rPr>
          <w:rStyle w:val="18"/>
        </w:rPr>
        <w:footnoteReference w:id="14"/>
      </w:r>
      <w:r>
        <w:t>. The Federal Shariat Court of Islamabad ruled that sections 2(f), 3 and 7 of the Transgender Act 2018 which relate to gender identity, the right to self-perceived gender identity and the right of inheritance for transgender people do not conform with their interpretation of Islamic principles. However, despite the verdict, the National Database and Registration Authority (NADRA) resumed the issuance of X cards for transgender persons in May 2023. In, addition two transgender persons contested in the general elections of 2024 as well</w:t>
      </w:r>
      <w:r>
        <w:rPr>
          <w:rStyle w:val="18"/>
        </w:rPr>
        <w:footnoteReference w:id="15"/>
      </w:r>
      <w:r>
        <w:t xml:space="preserve">. Despite the presence of transgender persons in political spaces and everyday walks of life they have been facing subsequent discrimination. </w:t>
      </w:r>
    </w:p>
    <w:p w14:paraId="61470FFD">
      <w:pPr>
        <w:ind w:firstLine="0"/>
      </w:pPr>
      <w:r>
        <w:t xml:space="preserve">However, the Transgender Protection of Rights Act has played a pivotal role in uplifting and empowering transgender persons in Pakistan. Since the promulgation of the Act cases of violence against transgender persons have dropped significantly. Transgender persons have been made part of various ministries, departments, law and media fraternities and advocacy forums. </w:t>
      </w:r>
    </w:p>
    <w:p w14:paraId="17E2B28D">
      <w:pPr>
        <w:ind w:firstLine="0"/>
        <w:rPr>
          <w:lang w:val="zh-CN"/>
        </w:rPr>
      </w:pPr>
      <w:r>
        <w:rPr>
          <w:lang w:val="zh-CN"/>
        </w:rPr>
        <w:t>Sarah Gill became Pakistan's first transgender doctor in 2022, making history by completing her MBBS. She is a well-known advocate for transgender rights and has been involved in health-related initiatives for the transgender community. Besides her work in medicine, Dr. Gill actively advocates for the social inclusion of transgender people and works to raise awareness about their healthcare needs.</w:t>
      </w:r>
    </w:p>
    <w:p w14:paraId="3885D693">
      <w:pPr>
        <w:ind w:firstLine="0"/>
        <w:rPr>
          <w:lang w:val="zh-CN"/>
        </w:rPr>
      </w:pPr>
      <w:r>
        <w:rPr>
          <w:lang w:val="zh-CN"/>
        </w:rPr>
        <w:t xml:space="preserve"> Nisha Rao became the first transgender lawyer in Pakistan in 2020. She faced significant hurdles throughout her life, yet she overcame them to pursue a law degree. Rao is involved in advocating for the rights of transgender people through her legal work, including providing legal assistance to transgender individuals facing discrimination or violence.</w:t>
      </w:r>
    </w:p>
    <w:p w14:paraId="6D15A526">
      <w:pPr>
        <w:ind w:firstLine="0"/>
        <w:rPr>
          <w:lang w:val="zh-CN"/>
        </w:rPr>
      </w:pPr>
      <w:r>
        <w:rPr>
          <w:lang w:val="zh-CN"/>
        </w:rPr>
        <w:t xml:space="preserve">Abishay Basharat from Quetta is the first Christian transgender woman from Quetta who has been instated in the police as a Victim Support Officer at the Women and Juvenile Facilitation Centre. She is also the first transgender woman to have graduated from the Balochistan University of Information Technology Engineering and Management Sciences with a bachelor’s degree. Abishay has been a prominent advocate for transgender rights in Balochistan. </w:t>
      </w:r>
    </w:p>
    <w:p w14:paraId="06644769">
      <w:pPr>
        <w:ind w:firstLine="0"/>
        <w:rPr>
          <w:lang w:val="zh-CN"/>
        </w:rPr>
      </w:pPr>
      <w:r>
        <w:rPr>
          <w:lang w:val="zh-CN"/>
        </w:rPr>
        <w:t xml:space="preserve">Bindya Rana is a prominent transgender activist and founder of the Gender Interactive Alliance (GIA), an organization that works for the rights of transgender people in Pakistan. She has played a key role in advocating for transgender rights, especially in the development of the Transgender. Almas Bobby is one of the earliest transgender activists in Pakistan. She has been at the forefront of the transgender rights movement, advocating for social, legal, and political inclusion for the community. She has also been involved in pushing for employment and housing rights for </w:t>
      </w:r>
    </w:p>
    <w:p w14:paraId="4714DD11">
      <w:pPr>
        <w:ind w:firstLine="0"/>
        <w:rPr>
          <w:lang w:val="zh-CN"/>
        </w:rPr>
      </w:pPr>
      <w:r>
        <w:rPr>
          <w:lang w:val="zh-CN"/>
        </w:rPr>
        <w:t>Lubna Lal is a member of Pakistan's Punjab Provincial Assembly. She is one of the few transgender individuals actively participating in the political process, working on issues related to gender rights, poverty alleviation, and the marginalized community.</w:t>
      </w:r>
    </w:p>
    <w:p w14:paraId="5034B691">
      <w:pPr>
        <w:ind w:firstLine="0"/>
        <w:rPr>
          <w:lang w:val="zh-CN"/>
        </w:rPr>
      </w:pPr>
      <w:r>
        <w:rPr>
          <w:lang w:val="zh-CN"/>
        </w:rPr>
        <w:t>Nayyab Ali contested in the 2018 and 2024 general elections in Pakistan as a candidate from Okara, Punjab. During the 2024 general elections, she contested NA-48 and NA-47  which are some the most central constituencies to contest in. She is also an award-winning activist who works on issues related to transgender rights and social justice.</w:t>
      </w:r>
    </w:p>
    <w:p w14:paraId="020B054D">
      <w:pPr>
        <w:ind w:firstLine="0"/>
        <w:rPr>
          <w:lang w:val="zh-CN"/>
        </w:rPr>
      </w:pPr>
      <w:r>
        <w:rPr>
          <w:lang w:val="zh-CN"/>
        </w:rPr>
        <w:t xml:space="preserve">Aisha Mughal works as a Transgender Expert in the Ministry of Human Rights in Pakistan. She is the first transgender woman to represent Pakistan at the United Nations in matters concerning transgender rights. Mughal is also involved in policymaking and has worked on implementing the Transgender Protection of Rights Act. </w:t>
      </w:r>
    </w:p>
    <w:p w14:paraId="69E28284">
      <w:pPr>
        <w:ind w:firstLine="0"/>
        <w:rPr>
          <w:lang w:val="zh-CN"/>
        </w:rPr>
      </w:pPr>
      <w:r>
        <w:rPr>
          <w:lang w:val="zh-CN"/>
        </w:rPr>
        <w:t>Shahzadi Rai has been appointed to work in the Human Rights Department of the Sindh Government. She is also a prominent transgender rights activist who works on promoting legal rights for the transgender community.</w:t>
      </w:r>
    </w:p>
    <w:p w14:paraId="05B6936B">
      <w:pPr>
        <w:ind w:firstLine="0"/>
      </w:pPr>
      <w:r>
        <w:rPr>
          <w:lang w:val="zh-CN"/>
        </w:rPr>
        <w:t xml:space="preserve">Reem Sharif is a prominent Transgender Rights Activist from Islamabad. She is Pakistan’s first transgender individual who has been appointed at a grade 18 position at the Ministry of Human Rights, Government of Pakistan. She is serving as a </w:t>
      </w:r>
      <w:r>
        <w:t xml:space="preserve">Deputy Director at, Transgender Protection Centre in Islamabad. </w:t>
      </w:r>
    </w:p>
    <w:p w14:paraId="40027F2F">
      <w:pPr>
        <w:ind w:firstLine="0"/>
      </w:pPr>
    </w:p>
    <w:p w14:paraId="21BA015E">
      <w:pPr>
        <w:ind w:firstLine="0"/>
        <w:rPr>
          <w:rFonts w:ascii="Times New Roman" w:hAnsi="Times New Roman" w:eastAsia="Times New Roman" w:cs="Times New Roman"/>
          <w:iCs/>
          <w:caps/>
          <w:szCs w:val="24"/>
          <w:lang w:val="zh-CN" w:eastAsia="zh-CN"/>
        </w:rPr>
      </w:pPr>
      <w:r>
        <w:t>The Transgender Protection of Rights Act also ensured the inclusion of transgender persons in social welfare initiatives such as the Sehat Insaaf Card and the Benazir Income Support Program.</w:t>
      </w:r>
      <w:r>
        <w:rPr>
          <w:rFonts w:ascii="Times New Roman" w:hAnsi="Times New Roman" w:eastAsia="Times New Roman" w:cs="Times New Roman"/>
          <w:iCs/>
          <w:caps/>
          <w:szCs w:val="24"/>
          <w:lang w:val="zh-CN" w:eastAsia="zh-CN"/>
        </w:rPr>
        <w:t xml:space="preserve"> </w:t>
      </w:r>
    </w:p>
    <w:p w14:paraId="34C3B5B0">
      <w:pPr>
        <w:ind w:firstLine="0"/>
        <w:rPr>
          <w:lang w:val="zh-CN"/>
        </w:rPr>
      </w:pPr>
      <w:r>
        <w:rPr>
          <w:lang w:val="zh-CN"/>
        </w:rPr>
        <w:t>The Sehat Insaaf Card, which provides free healthcare services to low-income families, was extended to include transgender individuals as part of the broader initiative to ensure healthcare access for marginalized communities. Transgender persons who are registered with the National Database and Registration Authority (NADRA) and hold a valid CNIC (Computerized National Identity Card) are eligible to apply for the Sehat Insaaf Card. The initiative recognizes the unique health challenges transgender people face and seeks to provide them with access to essential medical services, including hospitalization, surgeries, and treatments for chronic diseases. Transgender persons who hold the card can access healthcare services from public and private hospitals listed under the Sehat Insaaf program, covering a range of medical treatments, surgeries, and emergency care without out-of-pocket expenses.</w:t>
      </w:r>
    </w:p>
    <w:p w14:paraId="3FC2FA9F">
      <w:pPr>
        <w:ind w:firstLine="0"/>
        <w:rPr>
          <w:lang w:val="zh-CN"/>
        </w:rPr>
      </w:pPr>
      <w:r>
        <w:rPr>
          <w:lang w:val="zh-CN"/>
        </w:rPr>
        <w:t>The Benazir Income Support Program (BISP), Pakistan’s largest social safety net initiative, has also included transgender persons in its efforts to provide financial assistance to the country’s poorest and most marginalized communities.</w:t>
      </w:r>
    </w:p>
    <w:p w14:paraId="70F8522F">
      <w:pPr>
        <w:ind w:firstLine="0"/>
        <w:rPr>
          <w:lang w:val="zh-CN"/>
        </w:rPr>
      </w:pPr>
      <w:r>
        <w:rPr>
          <w:lang w:val="zh-CN"/>
        </w:rPr>
        <w:t>Transgender persons are eligible to benefit from BISP if they meet the poverty criteria established by the program. This typically requires them to be registered in the NADRA database and classified as belonging to a low-income household, verified through surveys and assessments., Transgender persons receive the same quarterly financial aid as other beneficiaries of the program. This inclusion is particularly significant as transgender individuals often face economic hardships, including unemployment and social exclusion, making them highly vulnerable.</w:t>
      </w:r>
    </w:p>
    <w:p w14:paraId="0175D2E2">
      <w:pPr>
        <w:ind w:firstLine="0"/>
        <w:rPr>
          <w:lang w:val="zh-CN"/>
        </w:rPr>
      </w:pPr>
      <w:r>
        <w:rPr>
          <w:lang w:val="zh-CN"/>
        </w:rPr>
        <w:t>BISP has undertaken efforts to identify and include marginalized groups, including transgender persons, ensuring that they are not left out of the country's social safety net. The program has worked to reduce social stigma and encourage transgender individuals to apply for the assistance they are entitled to.</w:t>
      </w:r>
    </w:p>
    <w:p w14:paraId="33C61FA5">
      <w:pPr>
        <w:ind w:firstLine="0"/>
        <w:rPr>
          <w:lang w:val="zh-CN"/>
        </w:rPr>
      </w:pPr>
      <w:r>
        <w:rPr>
          <w:lang w:val="zh-CN"/>
        </w:rPr>
        <w:t xml:space="preserve">The Ehsaas Program, launched by the government as a broader social safety net initiative, aims to reduce poverty and promote social welfare. Under the Ehsaas Program, specific provisions have been made for marginalized communities, including transgender people. The Ehsaas Kafaalat program provides financial assistance to the most vulnerable groups, including transgender persons, through biometric verification and digital payments. Ehsaas Nashonuma focuses on addressing malnutrition, including transgender individuals among the targeted groups for healthcare services and nutritional support. </w:t>
      </w:r>
    </w:p>
    <w:p w14:paraId="622BAAB3">
      <w:pPr>
        <w:ind w:firstLine="0"/>
        <w:rPr>
          <w:lang w:val="zh-CN"/>
        </w:rPr>
      </w:pPr>
      <w:r>
        <w:rPr>
          <w:lang w:val="zh-CN"/>
        </w:rPr>
        <w:t>The Punjab Social Protection Authority (PSPA) has introduced initiatives targeting transgender individuals to provide financial support, skills development, and healthcare services. PSPA’s programs help transgender people access benefits that ensure their basic needs are met, particularly in education and healthcare.</w:t>
      </w:r>
    </w:p>
    <w:p w14:paraId="2A90AA26">
      <w:pPr>
        <w:ind w:firstLine="0"/>
        <w:rPr>
          <w:lang w:val="zh-CN"/>
        </w:rPr>
      </w:pPr>
    </w:p>
    <w:p w14:paraId="4216D55E">
      <w:pPr>
        <w:ind w:firstLine="0"/>
      </w:pPr>
    </w:p>
    <w:p w14:paraId="47FCA230">
      <w:pPr>
        <w:ind w:firstLine="0"/>
        <w:rPr>
          <w:lang w:val="zh-CN"/>
        </w:rPr>
      </w:pPr>
      <w:r>
        <w:rPr>
          <w:lang w:val="zh-CN"/>
        </w:rPr>
        <w:t>The Transgender Protection of Rights Act has also paved the way for inclusive democratic spaces. Transgender persons contested in the general elections of 2018 and 2024.   Nayyab Ali contested the 2018 general elections for a seat in the National Assembly from Okara, Punjab. She ran as an independent candidate and, while she did not win, her campaign raised awareness about transgender rights. A transgender activist, Lubna Lal ran for a seat in the Punjab Assembly from Jhelum in the 2018 elections. Although she was not successful, her participation was part of a broader trend of transgender representation in elections. Bindya Rana once again contested elections in 2018, running for a Sindh Assembly seat. Her ongoing participation in politics demonstrated the growing engagement of the transgender community in the electoral process.In total, at least five transgender candidates contested in the 2018 general elections at both provincial and national levels. Their participation marked a significant moment in Pakistan's democratic process, showcasing greater inclusion of marginalized communities.</w:t>
      </w:r>
    </w:p>
    <w:p w14:paraId="3CCCB959">
      <w:pPr>
        <w:ind w:firstLine="0"/>
        <w:rPr>
          <w:lang w:val="zh-CN"/>
        </w:rPr>
      </w:pPr>
      <w:r>
        <w:t>In 2023, Shahzadi Rai and Chandni Shah became the first individuals to occupy the two newly established reserved seats for transgender persons in the Karachi Metropolitan Corporation City Council (KMC).</w:t>
      </w:r>
    </w:p>
    <w:p w14:paraId="11FA1E13">
      <w:pPr>
        <w:ind w:firstLine="0"/>
        <w:rPr>
          <w:lang w:val="zh-CN"/>
        </w:rPr>
      </w:pPr>
      <w:r>
        <w:rPr>
          <w:lang w:val="zh-CN"/>
        </w:rPr>
        <w:t xml:space="preserve">During the 2024 General elections, Sobia Khan and Saima Shaukat were one of the few transgender persons to contest as an independent candidate from Khyber Pakhtunkhwa. Nayab Ali from Okara contested from NA-46 and NA-47, two of the most central constituencies in the federal capital. </w:t>
      </w:r>
    </w:p>
    <w:p w14:paraId="0ED8BC59">
      <w:pPr>
        <w:ind w:firstLine="0"/>
        <w:rPr>
          <w:lang w:val="zh-CN"/>
        </w:rPr>
      </w:pPr>
    </w:p>
    <w:p w14:paraId="31B5FA24">
      <w:pPr>
        <w:ind w:firstLine="0"/>
        <w:rPr>
          <w:lang w:val="zh-CN"/>
        </w:rPr>
      </w:pPr>
      <w:r>
        <w:rPr>
          <w:lang w:val="zh-CN"/>
        </w:rPr>
        <w:pict>
          <v:rect id="_x0000_i1025" o:spt="1" style="height:1.5pt;width:0pt;" fillcolor="#A0A0A0" filled="t" stroked="f" coordsize="21600,21600" o:hr="t" o:hrstd="t" o:hralign="center">
            <v:path/>
            <v:fill on="t" focussize="0,0"/>
            <v:stroke on="f"/>
            <v:imagedata o:title=""/>
            <o:lock v:ext="edit"/>
            <w10:wrap type="none"/>
            <w10:anchorlock/>
          </v:rect>
        </w:pict>
      </w:r>
    </w:p>
    <w:p w14:paraId="179BB93E">
      <w:pPr>
        <w:ind w:firstLine="0"/>
      </w:pPr>
    </w:p>
    <w:p w14:paraId="72D49F51">
      <w:pPr>
        <w:ind w:firstLine="0"/>
      </w:pPr>
      <w:r>
        <w:t>In this regard, the Government of Balochistan has devised this Policy in order to provide strategic positioning to the Government of Balochistan in implementing the Transgender Persons (Protection of Rights) Act 2018 and safeguarding the rights of transgender persons within the province of Balochistan. According to the Provisional Summary Results of the 6</w:t>
      </w:r>
      <w:r>
        <w:rPr>
          <w:vertAlign w:val="superscript"/>
        </w:rPr>
        <w:t>th</w:t>
      </w:r>
      <w:r>
        <w:t xml:space="preserve"> Population and Housing Census 2017, there are 10,418 transgender persons in Pakistan with an average annual growth rate of 2.40%.</w:t>
      </w:r>
      <w:r>
        <w:rPr>
          <w:rStyle w:val="18"/>
        </w:rPr>
        <w:footnoteReference w:id="16"/>
      </w:r>
      <w:r>
        <w:t xml:space="preserve"> For the province of Balochistan the population of transgender persons has been recorded at 780, as per the 2017 population census</w:t>
      </w:r>
      <w:r>
        <w:rPr>
          <w:rStyle w:val="18"/>
        </w:rPr>
        <w:footnoteReference w:id="17"/>
      </w:r>
      <w:r>
        <w:t xml:space="preserve">. While the population of transgender persons has been grossly under-reported, it is important to safeguard their rights within the province of Balochistan. </w:t>
      </w:r>
    </w:p>
    <w:p w14:paraId="275B6DA1">
      <w:pPr>
        <w:pStyle w:val="2"/>
      </w:pPr>
      <w:bookmarkStart w:id="1" w:name="_Toc3272776"/>
      <w:r>
        <w:t>Vision</w:t>
      </w:r>
      <w:bookmarkEnd w:id="1"/>
    </w:p>
    <w:p w14:paraId="798974D4">
      <w:r>
        <w:t>To create an equitable society for persons of every gender to have equal rights, equal opportunities for social, constitutional, political and economic inclusion as well as respect and dignity for all.</w:t>
      </w:r>
    </w:p>
    <w:p w14:paraId="2953E3D3">
      <w:pPr>
        <w:pStyle w:val="2"/>
      </w:pPr>
      <w:bookmarkStart w:id="2" w:name="_Toc3272777"/>
      <w:r>
        <w:t>Mission</w:t>
      </w:r>
      <w:bookmarkEnd w:id="2"/>
    </w:p>
    <w:p w14:paraId="0CFC64FD">
      <w:r>
        <w:t>To ensure that all transgender persons are recognised in accordance with their gender identity and expression. To ensure that the rights of transgender persons are protected by the state with equal access and opportunities afforded to all in accordance to human rights</w:t>
      </w:r>
      <w:r>
        <w:rPr>
          <w:rFonts w:hint="default"/>
          <w:lang w:val="en-US"/>
        </w:rPr>
        <w:t xml:space="preserve"> as enshrined in the constitution of Islamic Republic Of Pakistan</w:t>
      </w:r>
      <w:r>
        <w:t xml:space="preserve">. </w:t>
      </w:r>
    </w:p>
    <w:p w14:paraId="49BAFB0D">
      <w:pPr>
        <w:pStyle w:val="3"/>
      </w:pPr>
      <w:bookmarkStart w:id="3" w:name="_Toc3272778"/>
      <w:r>
        <w:t>Right to Life, Liberty and Security</w:t>
      </w:r>
      <w:bookmarkEnd w:id="3"/>
    </w:p>
    <w:p w14:paraId="149453FB">
      <w:r>
        <w:t>Transgender persons are subjected to extreme forms of violence including deaths and murders. Some of the murders reported have been gruesome and reflect the ostracised and marginalised position that transgender persons hold in Pakistan.</w:t>
      </w:r>
      <w:r>
        <w:rPr>
          <w:rStyle w:val="18"/>
        </w:rPr>
        <w:footnoteReference w:id="18"/>
      </w:r>
      <w:r>
        <w:t xml:space="preserve"> According to the Law and Justice Commission’s submission to the Supreme Court of Pakistan, assault and murder of transgender persons in high numbers all over Pakistan.</w:t>
      </w:r>
      <w:r>
        <w:rPr>
          <w:rStyle w:val="18"/>
        </w:rPr>
        <w:footnoteReference w:id="19"/>
      </w:r>
      <w:r>
        <w:t xml:space="preserve"> Therefore, at the very outset, guaranteeing the right to life, liberty and security of the transgender persons of utmost importance for this policy document in consonance with the Constitution of Pakistan 1973.</w:t>
      </w:r>
      <w:r>
        <w:rPr>
          <w:rStyle w:val="18"/>
        </w:rPr>
        <w:footnoteReference w:id="20"/>
      </w:r>
      <w:r>
        <w:t xml:space="preserve"> </w:t>
      </w:r>
    </w:p>
    <w:p w14:paraId="4BD67322">
      <w:r>
        <w:t>In this regard, the following recommendations are collated in order to guarantee these rights for the transgender community:</w:t>
      </w:r>
    </w:p>
    <w:p w14:paraId="7D0BB3A4">
      <w:pPr>
        <w:pStyle w:val="35"/>
        <w:numPr>
          <w:ilvl w:val="0"/>
          <w:numId w:val="4"/>
        </w:numPr>
      </w:pPr>
      <w:r>
        <w:t>Ensuring proper reporting, investigation and prosecution of cases of assault, murder and other offenses of transgender persons under the provision of Article 260 and Article 4 of the Constitution of Pakistan.</w:t>
      </w:r>
    </w:p>
    <w:p w14:paraId="3B09A093">
      <w:pPr>
        <w:pStyle w:val="35"/>
        <w:numPr>
          <w:ilvl w:val="0"/>
          <w:numId w:val="4"/>
        </w:numPr>
      </w:pPr>
      <w:r>
        <w:t>Prosecuting cases of murder of transgender persons under section 299 (ee) of the Pakistan Penal Code 1860, attracting the provision of fsad-fil-arz under Section 311 of the Pakistan Penal Code, restricting parties from compounding or compromising in cases of murder of transgender persons.</w:t>
      </w:r>
    </w:p>
    <w:p w14:paraId="5FDFA501">
      <w:pPr>
        <w:pStyle w:val="35"/>
        <w:numPr>
          <w:ilvl w:val="0"/>
          <w:numId w:val="4"/>
        </w:numPr>
      </w:pPr>
      <w:r>
        <w:t>Drafting, proposing and legislating a criminal amendment in the Pakistan Penal Code 1860 and Code of Criminal Procedure 1898 and the Anti-Harassment Act to enhance punishment of offenses where the offenses are motivated to harm, intimidate or harass transgender persons.</w:t>
      </w:r>
    </w:p>
    <w:p w14:paraId="5AE98D0E">
      <w:pPr>
        <w:pStyle w:val="35"/>
        <w:numPr>
          <w:ilvl w:val="0"/>
          <w:numId w:val="4"/>
        </w:numPr>
      </w:pPr>
      <w:r>
        <w:t>Sensitisation of law enforcement agencies, judiciary, and the legal fraternity to ensure the right to life, liberty and security of transgender persons.</w:t>
      </w:r>
    </w:p>
    <w:p w14:paraId="26DCD954">
      <w:pPr>
        <w:pStyle w:val="35"/>
        <w:numPr>
          <w:ilvl w:val="0"/>
          <w:numId w:val="4"/>
        </w:numPr>
      </w:pPr>
      <w:r>
        <w:t>Capacity building of transgender pressure groups and community representatives to monitor, facilitate and follow-up in cases of murder and other offences of transgender persons.</w:t>
      </w:r>
    </w:p>
    <w:p w14:paraId="253E03F5">
      <w:pPr>
        <w:pStyle w:val="35"/>
        <w:numPr>
          <w:ilvl w:val="0"/>
          <w:numId w:val="4"/>
        </w:numPr>
      </w:pPr>
      <w:r>
        <w:t>Awareness campaigns to sensitise the general public about the rights of transgender persons per the Constitution and law of Pakistan and mainstreaming them.</w:t>
      </w:r>
    </w:p>
    <w:p w14:paraId="2672ABBB">
      <w:pPr>
        <w:pStyle w:val="3"/>
      </w:pPr>
      <w:bookmarkStart w:id="4" w:name="_Toc3272779"/>
      <w:r>
        <w:t>Right to Identification and Registration</w:t>
      </w:r>
      <w:bookmarkEnd w:id="4"/>
    </w:p>
    <w:p w14:paraId="1832FAF4">
      <w:r>
        <w:t>A marked achievement of the Transgender Persons (Protection of Rights) Act 2018 is the guarantee of the right for transgender persons to be recognised according to ‘his or her self-perceived gender identity.’</w:t>
      </w:r>
      <w:r>
        <w:rPr>
          <w:rStyle w:val="18"/>
        </w:rPr>
        <w:footnoteReference w:id="21"/>
      </w:r>
      <w:r>
        <w:t xml:space="preserve"> The law not only grants the right to transgender persons to register themselves according to their self-perceived gender identities upon attaining the age of eighteen years, but also guarantees their right to change their name and gender according to their self-perceived gender identity if they already have a National Identity Card (NIC).</w:t>
      </w:r>
      <w:r>
        <w:rPr>
          <w:rStyle w:val="18"/>
        </w:rPr>
        <w:footnoteReference w:id="22"/>
      </w:r>
      <w:r>
        <w:t xml:space="preserve"> </w:t>
      </w:r>
    </w:p>
    <w:p w14:paraId="68BBCD13">
      <w:r>
        <w:t>In this regard, the following recommendations have been collated to ensure that the right to identification and registration of transgender persons ensured:</w:t>
      </w:r>
    </w:p>
    <w:p w14:paraId="07B741ED">
      <w:pPr>
        <w:pStyle w:val="35"/>
        <w:numPr>
          <w:ilvl w:val="0"/>
          <w:numId w:val="5"/>
        </w:numPr>
      </w:pPr>
      <w:r>
        <w:t>Sensitization of officials working at NADRA and Directorate Immigration and Passports, by the Government of Pakistan and Government of Balochistan, to facilitate transgender persons in registration of their NICs and passports in a respectful and dignified manner;</w:t>
      </w:r>
    </w:p>
    <w:p w14:paraId="4FF42435">
      <w:pPr>
        <w:pStyle w:val="35"/>
        <w:numPr>
          <w:ilvl w:val="0"/>
          <w:numId w:val="5"/>
        </w:numPr>
      </w:pPr>
      <w:r>
        <w:t>Sensitization and awareness raising  of officials working at the Balochistan Transport Department and Traffic Police to facilitate transgender persons in registration of their driving licenses in a respectful and dignified manner;</w:t>
      </w:r>
    </w:p>
    <w:p w14:paraId="3581BE19">
      <w:pPr>
        <w:pStyle w:val="35"/>
        <w:numPr>
          <w:ilvl w:val="0"/>
          <w:numId w:val="5"/>
        </w:numPr>
      </w:pPr>
      <w:r>
        <w:t>Capacity building of transgender groups and organisations to facilitate transgender persons representatives in registering their NICs, passport and driving licenses;</w:t>
      </w:r>
    </w:p>
    <w:p w14:paraId="2B884959">
      <w:pPr>
        <w:pStyle w:val="35"/>
        <w:numPr>
          <w:ilvl w:val="0"/>
          <w:numId w:val="5"/>
        </w:numPr>
      </w:pPr>
      <w:r>
        <w:t xml:space="preserve">Mass awareness campaigns amongst transgender personsand relevant stakeholders to educate regarding transgender persons right to identification as per their self-perceived gender identities. </w:t>
      </w:r>
    </w:p>
    <w:p w14:paraId="572A8680">
      <w:pPr>
        <w:pStyle w:val="3"/>
      </w:pPr>
      <w:bookmarkStart w:id="5" w:name="_Toc3272780"/>
      <w:r>
        <w:t>Freedom from Discrimination and Harassment</w:t>
      </w:r>
      <w:bookmarkEnd w:id="5"/>
    </w:p>
    <w:p w14:paraId="19667B4C">
      <w:r>
        <w:t>The United Nations Human Rights Committee in its Concluding Observations to Pakistan in July 2017 stated:</w:t>
      </w:r>
    </w:p>
    <w:p w14:paraId="6C3F8AA2">
      <w:pPr>
        <w:ind w:left="360" w:firstLine="0"/>
      </w:pPr>
      <w:r>
        <w:t>While welcoming the information about progress made in the State party on the situation of intersex persons, the Committee regrets the absence of information from the delegation on effective measures to prevent and punish all forms of discriminations against… transgender and intersex persons.</w:t>
      </w:r>
      <w:r>
        <w:rPr>
          <w:vertAlign w:val="superscript"/>
        </w:rPr>
        <w:footnoteReference w:id="23"/>
      </w:r>
      <w:r>
        <w:t xml:space="preserve"> </w:t>
      </w:r>
    </w:p>
    <w:p w14:paraId="7F9D61B2">
      <w:r>
        <w:t>Therefore, discrimination against transgender persons remains a huge issue and contributes effectively to the perpetual marginalisation of transgender persons in Pakistan. The discrimination against the transgender personsexists at several levels. Discrimination against transgender children starts at home, follows transgender children to their schools and eventually to their professional lives where despite their intelligence or education, transgender persons are reduced to begging, menial work, dancing or sex-work. The discriminatory behaviour meted towards transgender persons requires intervention in both private and public spheres. While the private lives of transgender persons are plagued with discrimination, public functionaries and law enforcement agencies have also been often reported to be involved in discrimination and violence against the transgender community.</w:t>
      </w:r>
    </w:p>
    <w:p w14:paraId="418D759E">
      <w:r>
        <w:t xml:space="preserve">At family level, not giving transgender persons their due inheritance rights is also common place which contributes to the community’s subjugation and ensures that transgender person do not enjoy any property rights as well. In this regard, the Transgender Persons (Protection of Rights) Act 2018 expressly guarantees the right of inheritance for transgender persons </w:t>
      </w:r>
      <w:bookmarkStart w:id="12" w:name="_GoBack"/>
      <w:bookmarkEnd w:id="12"/>
      <w:r>
        <w:t>.</w:t>
      </w:r>
      <w:r>
        <w:rPr>
          <w:rStyle w:val="18"/>
        </w:rPr>
        <w:footnoteReference w:id="24"/>
      </w:r>
    </w:p>
    <w:p w14:paraId="1E151F76">
      <w:r>
        <w:t>In this regard, the following recommendations have been collated to ensure that transgender persons are free from discrimination:</w:t>
      </w:r>
    </w:p>
    <w:p w14:paraId="6C80B3A3">
      <w:pPr>
        <w:pStyle w:val="35"/>
        <w:numPr>
          <w:ilvl w:val="0"/>
          <w:numId w:val="6"/>
        </w:numPr>
      </w:pPr>
      <w:r>
        <w:t>Awareness and media campaigns to mainstream transgender persons and sensitise general public about the rights of transgender persons. Awareness campaigns to remove social stigma from transgender persons;</w:t>
      </w:r>
    </w:p>
    <w:p w14:paraId="2861989F">
      <w:pPr>
        <w:pStyle w:val="35"/>
        <w:numPr>
          <w:ilvl w:val="0"/>
          <w:numId w:val="6"/>
        </w:numPr>
      </w:pPr>
      <w:r>
        <w:t>Reporting and prosecution of parents, guardians or families who abandon transgender, eunuch or inter-sex babies or children under offences of ‘exposure and abandonment of child under twelve years by parent or person having care of it’</w:t>
      </w:r>
      <w:r>
        <w:rPr>
          <w:rStyle w:val="18"/>
        </w:rPr>
        <w:footnoteReference w:id="25"/>
      </w:r>
      <w:r>
        <w:t xml:space="preserve"> and ‘concealment of birth by secret disposal of dead body’</w:t>
      </w:r>
      <w:r>
        <w:rPr>
          <w:rStyle w:val="18"/>
        </w:rPr>
        <w:footnoteReference w:id="26"/>
      </w:r>
      <w:r>
        <w:t xml:space="preserve"> of the Pakistan Penal Code, 1860;</w:t>
      </w:r>
    </w:p>
    <w:p w14:paraId="1E8C8508">
      <w:pPr>
        <w:pStyle w:val="35"/>
        <w:numPr>
          <w:ilvl w:val="0"/>
          <w:numId w:val="6"/>
        </w:numPr>
      </w:pPr>
      <w:r>
        <w:t>Sensitizing public functionaries and public officials about the rights of transgender persons and adopting a non-discriminatory approach with regards to their duties;</w:t>
      </w:r>
    </w:p>
    <w:p w14:paraId="1883D897">
      <w:pPr>
        <w:pStyle w:val="35"/>
        <w:numPr>
          <w:ilvl w:val="0"/>
          <w:numId w:val="6"/>
        </w:numPr>
      </w:pPr>
      <w:r>
        <w:t>Establishing a Complaint Cell with the Social Welfare Department, Government of Balochistan, National Commission for Human Rights or the Provincial Ombudsman Secretariate  for transgender persons to report cases of discrimination by public officials and functionaries;</w:t>
      </w:r>
    </w:p>
    <w:p w14:paraId="7C221428">
      <w:pPr>
        <w:pStyle w:val="35"/>
        <w:numPr>
          <w:ilvl w:val="0"/>
          <w:numId w:val="6"/>
        </w:numPr>
      </w:pPr>
      <w:r>
        <w:t>Prosecuting cases of harassment of transgender persons as per section 509 of the Pakistan Penal Code, 1860;</w:t>
      </w:r>
    </w:p>
    <w:p w14:paraId="01C4FB2C">
      <w:pPr>
        <w:pStyle w:val="35"/>
        <w:numPr>
          <w:ilvl w:val="0"/>
          <w:numId w:val="6"/>
        </w:numPr>
      </w:pPr>
      <w:r>
        <w:t>Enforcing the right of inheritance of transgender persons per the Transgender Persons (Protection of Rights) Act 2018 , Land Revenue Act 1967, and Succession Act 1925.</w:t>
      </w:r>
    </w:p>
    <w:p w14:paraId="1518DED7">
      <w:pPr>
        <w:pStyle w:val="3"/>
      </w:pPr>
      <w:bookmarkStart w:id="6" w:name="_Toc3272781"/>
      <w:r>
        <w:t>Right to Health</w:t>
      </w:r>
      <w:bookmarkEnd w:id="6"/>
    </w:p>
    <w:p w14:paraId="5C175BE4">
      <w:r>
        <w:t>Instances of violation of transgender person’s right to health have been highlighted by the media time and again.</w:t>
      </w:r>
      <w:r>
        <w:rPr>
          <w:rStyle w:val="18"/>
        </w:rPr>
        <w:footnoteReference w:id="27"/>
      </w:r>
      <w:r>
        <w:t xml:space="preserve"> Issues regarding transgender persons' right to health have included lack of separate wards for the transgender community, lack of medical knowledge of doctors and nurses regarding the anatomy of transgender persons, discrimination and violence by hospital staff regarding transgender patients and refusal to operate or provide medical attention to transgender patients. However, transgender persons require medical attention, especially those associated with sex work. In a survey conducted by the National AIDS Control Programme, in a sample of around 50,000 transgender persons from Pakistan, the prevalence rate of HIV was 7.1% which signals the need to address the health rights of transgender persons.</w:t>
      </w:r>
      <w:r>
        <w:rPr>
          <w:vertAlign w:val="superscript"/>
        </w:rPr>
        <w:footnoteReference w:id="28"/>
      </w:r>
    </w:p>
    <w:p w14:paraId="68C103E9">
      <w:r>
        <w:t>Therefore, in order to guarantee the right to health for transgender persons, the following recommendations are proposed:</w:t>
      </w:r>
    </w:p>
    <w:p w14:paraId="200DF419">
      <w:pPr>
        <w:pStyle w:val="35"/>
        <w:numPr>
          <w:ilvl w:val="0"/>
          <w:numId w:val="7"/>
        </w:numPr>
        <w:rPr>
          <w:lang w:val="zh-CN"/>
        </w:rPr>
      </w:pPr>
      <w:r>
        <w:t xml:space="preserve">Reviewing medical curriculum and improving research for doctors and nursing staff to address specific health issues of the transgender community in consultation with the Pakistan Medical and Dental Council. Incorporate chapters on transgender health in medical text books. </w:t>
      </w:r>
    </w:p>
    <w:p w14:paraId="525A216C">
      <w:pPr>
        <w:pStyle w:val="35"/>
        <w:numPr>
          <w:ilvl w:val="0"/>
          <w:numId w:val="7"/>
        </w:numPr>
        <w:rPr>
          <w:lang w:val="zh-CN"/>
        </w:rPr>
      </w:pPr>
      <w:r>
        <w:t xml:space="preserve">Facilitating access to hospitals and health by providing enabling and safe environment for transgender persons in hospitals and other health care institutions. Addition of transgender column for identification of gender on OPD receipts at hospitals. </w:t>
      </w:r>
    </w:p>
    <w:p w14:paraId="471C9C6E">
      <w:pPr>
        <w:pStyle w:val="35"/>
        <w:numPr>
          <w:ilvl w:val="0"/>
          <w:numId w:val="7"/>
        </w:numPr>
      </w:pPr>
      <w:r>
        <w:t>Ensuring transgender persons access to all necessary medical and psychological gender corrective treatment;</w:t>
      </w:r>
    </w:p>
    <w:p w14:paraId="33FC0358">
      <w:pPr>
        <w:pStyle w:val="35"/>
        <w:numPr>
          <w:ilvl w:val="0"/>
          <w:numId w:val="7"/>
        </w:numPr>
      </w:pPr>
      <w:r>
        <w:t>Establishing separate wards for transgender persons and training medical practitioners regarding updated medical research and literature pertaining to the anatomy of transgender persons;</w:t>
      </w:r>
    </w:p>
    <w:p w14:paraId="004D3454">
      <w:pPr>
        <w:pStyle w:val="35"/>
        <w:numPr>
          <w:ilvl w:val="0"/>
          <w:numId w:val="7"/>
        </w:numPr>
      </w:pPr>
      <w:r>
        <w:t>Devote special attention to transgender persons at risk of HIV/AIDS or infected with HIV/AIDS.</w:t>
      </w:r>
    </w:p>
    <w:p w14:paraId="12A8766F"/>
    <w:p w14:paraId="66191F3B">
      <w:pPr>
        <w:pStyle w:val="3"/>
      </w:pPr>
      <w:bookmarkStart w:id="7" w:name="_Toc3272782"/>
      <w:r>
        <w:t>Right to Education</w:t>
      </w:r>
      <w:bookmarkEnd w:id="7"/>
    </w:p>
    <w:p w14:paraId="7A39CC1A">
      <w:r>
        <w:t>Drop-out rate is also high amongst transgender children. Furthermore, transgender children are also at risk of being victimised by sexual violence in schools. Many transgender children face bullying, name-calling and hazing which also contributes towards their high drop-out rate. Another factor has been attributed to economic burden, whereby trans-children, leave education to economically support their families. This comes in direct conflict with the constitutional right of education which is mandated up to sixteen years of age.</w:t>
      </w:r>
      <w:r>
        <w:rPr>
          <w:rStyle w:val="18"/>
        </w:rPr>
        <w:footnoteReference w:id="29"/>
      </w:r>
    </w:p>
    <w:p w14:paraId="27C9EBBA">
      <w:r>
        <w:t>In this regard, the following recommendations are proposed in this Policy:</w:t>
      </w:r>
    </w:p>
    <w:p w14:paraId="611F6812">
      <w:pPr>
        <w:pStyle w:val="35"/>
        <w:numPr>
          <w:ilvl w:val="0"/>
          <w:numId w:val="8"/>
        </w:numPr>
      </w:pPr>
      <w:r>
        <w:t>The Education Department, Government of Balochistan, shall ensure that all government education institutions provide education and opportunities for sports, recreation and leisure activities without any discrimination and on an equal basis.</w:t>
      </w:r>
    </w:p>
    <w:p w14:paraId="00B60797">
      <w:pPr>
        <w:pStyle w:val="35"/>
        <w:numPr>
          <w:ilvl w:val="0"/>
          <w:numId w:val="8"/>
        </w:numPr>
      </w:pPr>
      <w:r>
        <w:t xml:space="preserve">The Education Department, Government of Balochistan shall take steps to provide need-based and merit-based scholarships for transgender persons in the fields of education and sports. </w:t>
      </w:r>
    </w:p>
    <w:p w14:paraId="7CE88A89">
      <w:pPr>
        <w:pStyle w:val="35"/>
        <w:numPr>
          <w:ilvl w:val="0"/>
          <w:numId w:val="8"/>
        </w:numPr>
      </w:pPr>
      <w:r>
        <w:t>The Education Department, Government of Balochistan shall take steps to provide free and compulsory education to transgender persons as guaranteed under Article 25A of the Constitution of Pakistan;</w:t>
      </w:r>
    </w:p>
    <w:p w14:paraId="79DF8606">
      <w:pPr>
        <w:pStyle w:val="35"/>
        <w:numPr>
          <w:ilvl w:val="0"/>
          <w:numId w:val="8"/>
        </w:numPr>
      </w:pPr>
      <w:r>
        <w:t>Prosecute and take appropriate legal action against educational institutions, whether public or private, that discriminate against a person on the grounds of person's sex, gender identity and gender expression;</w:t>
      </w:r>
    </w:p>
    <w:p w14:paraId="39D6CA5B">
      <w:pPr>
        <w:pStyle w:val="35"/>
        <w:numPr>
          <w:ilvl w:val="0"/>
          <w:numId w:val="8"/>
        </w:numPr>
      </w:pPr>
      <w:r>
        <w:t>Create a conducive environment for trans-children to feel safe in school environments and institute policies to reduce and address bullying, hazing, and violence against trans-children.</w:t>
      </w:r>
    </w:p>
    <w:p w14:paraId="6CD01996">
      <w:pPr>
        <w:pStyle w:val="35"/>
        <w:numPr>
          <w:ilvl w:val="0"/>
          <w:numId w:val="8"/>
        </w:numPr>
      </w:pPr>
      <w:r>
        <w:t xml:space="preserve">Sensitize teachers, staff and parents regarding the rights of trans-children in order to promote education and skill development amongst the community through sensitization sessions. </w:t>
      </w:r>
    </w:p>
    <w:p w14:paraId="067272B3">
      <w:pPr>
        <w:pStyle w:val="3"/>
      </w:pPr>
      <w:bookmarkStart w:id="8" w:name="_Toc3272783"/>
      <w:r>
        <w:t>Right to Employment</w:t>
      </w:r>
      <w:bookmarkEnd w:id="8"/>
    </w:p>
    <w:p w14:paraId="5F00548D">
      <w:r>
        <w:t>The discrimination and social stigma faced by transgender persons gravely impacts their employment rights. In a research, it was highlighted that even though the federal government had introduced affirmative actions for skill development of transgender persons in institutions like NAVTTC; the skill development training did not necessarily result in a job for the transgender person in question due to discrimination.</w:t>
      </w:r>
      <w:r>
        <w:rPr>
          <w:rStyle w:val="18"/>
        </w:rPr>
        <w:footnoteReference w:id="30"/>
      </w:r>
      <w:r>
        <w:t xml:space="preserve"> Therefore, discrimination, lack of education and lack of skills are major impediments to the employment rights of transgender persons. </w:t>
      </w:r>
    </w:p>
    <w:p w14:paraId="6802785B">
      <w:r>
        <w:t>In this regard, the following recommendations can ensure that transgender persons enjoy their right to employment:</w:t>
      </w:r>
    </w:p>
    <w:p w14:paraId="51EF81DC">
      <w:pPr>
        <w:pStyle w:val="35"/>
        <w:numPr>
          <w:ilvl w:val="0"/>
          <w:numId w:val="9"/>
        </w:numPr>
      </w:pPr>
      <w:r>
        <w:t>The Services and General Administration Department, Government of Balochistan shall ensure that no establishment, institution, department, or organization, shall discriminate against any transgender person in any matter relating to employment including, but not limited to, recruitment, promotion, appointment, transfer and other related issues.</w:t>
      </w:r>
    </w:p>
    <w:p w14:paraId="61847B79">
      <w:pPr>
        <w:pStyle w:val="35"/>
        <w:numPr>
          <w:ilvl w:val="0"/>
          <w:numId w:val="9"/>
        </w:numPr>
      </w:pPr>
      <w:r>
        <w:t>The Services and General Administration Department, Government of Balochistan and the Labour and Manpower Department , Government of Balochistan all ensure a 2%  employment quota for transgender persons.</w:t>
      </w:r>
    </w:p>
    <w:p w14:paraId="22B16796">
      <w:pPr>
        <w:pStyle w:val="35"/>
        <w:numPr>
          <w:ilvl w:val="0"/>
          <w:numId w:val="9"/>
        </w:numPr>
      </w:pPr>
      <w:r>
        <w:t>The Labour and Manpower Department, Government of Balochistan shall sensitise labour inspectors regarding the employment rights of transgender persons and ensure that their rights are also protected under the labour laws of Balochistan;</w:t>
      </w:r>
    </w:p>
    <w:p w14:paraId="311BF9C1">
      <w:pPr>
        <w:pStyle w:val="35"/>
        <w:numPr>
          <w:ilvl w:val="0"/>
          <w:numId w:val="9"/>
        </w:numPr>
      </w:pPr>
      <w:r>
        <w:t>The Labour and Manpower Department, Government of Balochistan shall in coordination with NAVTTC organise skill development trainings for transgender persons to prepare them for employment;</w:t>
      </w:r>
    </w:p>
    <w:p w14:paraId="20894C10">
      <w:pPr>
        <w:pStyle w:val="35"/>
        <w:numPr>
          <w:ilvl w:val="0"/>
          <w:numId w:val="9"/>
        </w:numPr>
      </w:pPr>
      <w:r>
        <w:t xml:space="preserve">Capacity building of transgender groups and organisations to work with transgender persons representatives regarding skills development and technical trainings. </w:t>
      </w:r>
    </w:p>
    <w:p w14:paraId="4E37B8CF">
      <w:pPr>
        <w:pStyle w:val="3"/>
      </w:pPr>
      <w:bookmarkStart w:id="9" w:name="_Toc3272784"/>
      <w:r>
        <w:t>Protection from Sexual Violence</w:t>
      </w:r>
      <w:bookmarkEnd w:id="9"/>
    </w:p>
    <w:p w14:paraId="1657F55D">
      <w:r>
        <w:t>Transgender persons remain highly vulnerable to sexual violence. This is exacerbated by the fact that a considerable number of transgender persons are employed in sex work which is criminalised in Pakistan. However, as most transgender persons are also victims of human trafficking, as per the Prevention of Trafficking in Persons Act 2018, such transgender persons are to be considered as victims and not perpetrators.</w:t>
      </w:r>
      <w:r>
        <w:rPr>
          <w:rStyle w:val="18"/>
        </w:rPr>
        <w:footnoteReference w:id="31"/>
      </w:r>
      <w:r>
        <w:t xml:space="preserve"> In this regard, it is important to protect transgender persons from sexual violence and safeguard their dignity.</w:t>
      </w:r>
    </w:p>
    <w:p w14:paraId="4ABB7BEC">
      <w:r>
        <w:t>The following recommendations are proposed in this Policy:</w:t>
      </w:r>
    </w:p>
    <w:p w14:paraId="02518A5E">
      <w:pPr>
        <w:pStyle w:val="35"/>
        <w:numPr>
          <w:ilvl w:val="0"/>
          <w:numId w:val="10"/>
        </w:numPr>
      </w:pPr>
      <w:r>
        <w:t>Reporting and prosecution of cases of sexual violence against transgender persons as per sections 369, 375, 376, 377 and 377A of the Pakistan Penal Code, 1860;</w:t>
      </w:r>
    </w:p>
    <w:p w14:paraId="6C6C3ADF">
      <w:pPr>
        <w:pStyle w:val="35"/>
        <w:numPr>
          <w:ilvl w:val="0"/>
          <w:numId w:val="10"/>
        </w:numPr>
      </w:pPr>
      <w:r>
        <w:t xml:space="preserve">Invoking the protections afforded to victims in the Prevention of Trafficking in Persons Act 2018 to protect transgender persons from criminal liability and affording them the opportunity to become witnesses in trial against human traffickers; </w:t>
      </w:r>
    </w:p>
    <w:p w14:paraId="3C83343E">
      <w:pPr>
        <w:pStyle w:val="35"/>
        <w:numPr>
          <w:ilvl w:val="0"/>
          <w:numId w:val="10"/>
        </w:numPr>
      </w:pPr>
      <w:r>
        <w:t>Establishing Standard Operating Procedure for Medico-Legal Officers regarding collection of samples and evidence in cases of sexual violence against transgender persons;</w:t>
      </w:r>
    </w:p>
    <w:p w14:paraId="68BD3FC1">
      <w:pPr>
        <w:pStyle w:val="35"/>
        <w:numPr>
          <w:ilvl w:val="0"/>
          <w:numId w:val="10"/>
        </w:numPr>
      </w:pPr>
      <w:r>
        <w:t>Sensitisation of law enforcement agencies, legal fraternity and judiciary regarding the complexities surrounding sexual violence against transgender persons and how to deal with such cases in a gender-sensitive manner;</w:t>
      </w:r>
    </w:p>
    <w:p w14:paraId="4205DBC2">
      <w:pPr>
        <w:pStyle w:val="35"/>
        <w:numPr>
          <w:ilvl w:val="0"/>
          <w:numId w:val="10"/>
        </w:numPr>
      </w:pPr>
      <w:r>
        <w:t>Capacity building of transgender groups and organisations to act as a pressure group in cases of sexual violence of transgender persons and ensure that such cases are diligently pursued.</w:t>
      </w:r>
    </w:p>
    <w:p w14:paraId="75CC6908">
      <w:pPr>
        <w:pStyle w:val="3"/>
      </w:pPr>
      <w:bookmarkStart w:id="10" w:name="_Toc3272785"/>
      <w:r>
        <w:t>Right to Vote and Hold Public Office</w:t>
      </w:r>
      <w:bookmarkEnd w:id="10"/>
      <w:r>
        <w:t xml:space="preserve"> </w:t>
      </w:r>
    </w:p>
    <w:p w14:paraId="7E9D1DED">
      <w:r>
        <w:t>The Supreme Court in 2011 granted transgender persons the right to vote and to participate in the political process.</w:t>
      </w:r>
      <w:r>
        <w:rPr>
          <w:vertAlign w:val="superscript"/>
        </w:rPr>
        <w:footnoteReference w:id="32"/>
      </w:r>
      <w:r>
        <w:t xml:space="preserve"> With the Supreme Court’s order for transgender persons to be registered as voters with the Election Commission of Pakistan, many transgender women also ran for elections in 2013. According to reports, thirteen transgender persons contested for elections in 2018 which marks another step forward for the political participation of transgender persons.</w:t>
      </w:r>
      <w:r>
        <w:rPr>
          <w:rStyle w:val="18"/>
        </w:rPr>
        <w:footnoteReference w:id="33"/>
      </w:r>
      <w:r>
        <w:t xml:space="preserve"> However, huge disparities existed with regards to the voter registration of transgender persons. According to one source, only 1500 transgender persons were registered with the Election Commission of Pakistan in February, 2018.</w:t>
      </w:r>
      <w:r>
        <w:rPr>
          <w:rStyle w:val="18"/>
        </w:rPr>
        <w:footnoteReference w:id="34"/>
      </w:r>
      <w:r>
        <w:t xml:space="preserve"> </w:t>
      </w:r>
    </w:p>
    <w:p w14:paraId="479156C9">
      <w:r>
        <w:t>In order to ensure the right to vote and hold public office, the following recommendations have been collated:</w:t>
      </w:r>
    </w:p>
    <w:p w14:paraId="2DBB4399">
      <w:pPr>
        <w:pStyle w:val="35"/>
        <w:numPr>
          <w:ilvl w:val="0"/>
          <w:numId w:val="11"/>
        </w:numPr>
      </w:pPr>
      <w:r>
        <w:t>Capacity building of transgender groups and organisations to facilitate transgender persons in voter registration and filing of nomination papers in case of contesting elections;</w:t>
      </w:r>
    </w:p>
    <w:p w14:paraId="2258BB7B">
      <w:pPr>
        <w:pStyle w:val="35"/>
        <w:numPr>
          <w:ilvl w:val="0"/>
          <w:numId w:val="11"/>
        </w:numPr>
      </w:pPr>
      <w:r>
        <w:t>Government of Balochistan in coordination with the Election Commission of Pakistan should devise a strategy to increase voter registration of transgender persons in Balochistan;</w:t>
      </w:r>
    </w:p>
    <w:p w14:paraId="14953325">
      <w:pPr>
        <w:pStyle w:val="35"/>
        <w:numPr>
          <w:ilvl w:val="0"/>
          <w:numId w:val="11"/>
        </w:numPr>
      </w:pPr>
      <w:r>
        <w:t>Transgender groups and organisations should organise themselves in a democratic manner and build capacity of transgender persons regarding civil and political rights;</w:t>
      </w:r>
    </w:p>
    <w:p w14:paraId="748B0AE8">
      <w:pPr>
        <w:pStyle w:val="35"/>
        <w:numPr>
          <w:ilvl w:val="0"/>
          <w:numId w:val="11"/>
        </w:numPr>
      </w:pPr>
      <w:r>
        <w:t>Transgender groups and organisations should liaise and lobby with political parties to forward their mandate related to transgender rights and ensure representation of transgender persons in political processes;</w:t>
      </w:r>
    </w:p>
    <w:p w14:paraId="2D5874AA">
      <w:pPr>
        <w:pStyle w:val="35"/>
        <w:numPr>
          <w:ilvl w:val="0"/>
          <w:numId w:val="11"/>
        </w:numPr>
      </w:pPr>
      <w:r>
        <w:t>Transgender groups and organisations, the Government of Balochistan and the Election Commission of Pakistan should develop a Handbook on Inclusive Electioneering to ensure spaces for transgender persons in elections;</w:t>
      </w:r>
    </w:p>
    <w:p w14:paraId="50CAC431">
      <w:pPr>
        <w:pStyle w:val="35"/>
        <w:numPr>
          <w:ilvl w:val="0"/>
          <w:numId w:val="11"/>
        </w:numPr>
      </w:pPr>
      <w:r>
        <w:t>Government of Balochistan and the Election Commission of Pakistan should set up special booths for transgender persons to facilitate their voting in general and local elections.</w:t>
      </w:r>
      <w:bookmarkStart w:id="11" w:name="_Toc3272786"/>
    </w:p>
    <w:p w14:paraId="125B091D">
      <w:pPr>
        <w:pStyle w:val="35"/>
        <w:ind w:left="1080" w:firstLine="0"/>
      </w:pPr>
    </w:p>
    <w:p w14:paraId="02240322">
      <w:pPr>
        <w:pStyle w:val="35"/>
        <w:ind w:left="1080" w:firstLine="0"/>
      </w:pPr>
    </w:p>
    <w:p w14:paraId="67E2A402">
      <w:pPr>
        <w:pStyle w:val="35"/>
        <w:ind w:left="1080" w:firstLine="0"/>
      </w:pPr>
    </w:p>
    <w:p w14:paraId="321B1912">
      <w:pPr>
        <w:pStyle w:val="2"/>
        <w:rPr>
          <w:rFonts w:eastAsiaTheme="minorEastAsia"/>
        </w:rPr>
      </w:pPr>
      <w:r>
        <w:t>Institutions for Enforcement</w:t>
      </w:r>
      <w:bookmarkEnd w:id="11"/>
    </w:p>
    <w:p w14:paraId="4B84A712">
      <w:r>
        <w:t xml:space="preserve">The Balochistan Transgender Rights Policy is owned, coordinated and implemented by the Social Welfare, Special Education, Literacy/Non-Formal Education and Human Rights Department of the Government of Balochistan. The Policy is a strategic document crafted by the Social Welfare Department to fully translate the rights guaranteed to the transgender personsin Balochistan in the Constitution of Pakistan 1973 as well as the Transgender Persons (Protection of Rights) Act 2018. While the Social Welfare Department carries the mandate of crafting, coordinating and implementing the Policy document, the recommendations and actions proposed in the Policy require concerted efforts by the entire Government of Balochistan in order to make these rights for the transgender persons a reality. </w:t>
      </w:r>
    </w:p>
    <w:p w14:paraId="0CF8E5FE">
      <w:r>
        <w:t>Therefore, pertinent to this Policy are also the following department of the Government of Balochistan that shall play a major role in implementing this Policy in letter and spirit:</w:t>
      </w:r>
    </w:p>
    <w:p w14:paraId="529029D5">
      <w:pPr>
        <w:pStyle w:val="35"/>
        <w:numPr>
          <w:ilvl w:val="0"/>
          <w:numId w:val="12"/>
        </w:numPr>
      </w:pPr>
      <w:r>
        <w:t>Education Department</w:t>
      </w:r>
    </w:p>
    <w:p w14:paraId="43BE63EC">
      <w:pPr>
        <w:pStyle w:val="35"/>
        <w:numPr>
          <w:ilvl w:val="0"/>
          <w:numId w:val="12"/>
        </w:numPr>
      </w:pPr>
      <w:r>
        <w:t>Finance Department</w:t>
      </w:r>
    </w:p>
    <w:p w14:paraId="3D6CB137">
      <w:pPr>
        <w:pStyle w:val="35"/>
        <w:numPr>
          <w:ilvl w:val="0"/>
          <w:numId w:val="12"/>
        </w:numPr>
      </w:pPr>
      <w:r>
        <w:t>Health Department</w:t>
      </w:r>
    </w:p>
    <w:p w14:paraId="1D4906AF">
      <w:pPr>
        <w:pStyle w:val="35"/>
        <w:numPr>
          <w:ilvl w:val="0"/>
          <w:numId w:val="12"/>
        </w:numPr>
      </w:pPr>
      <w:r>
        <w:t>Information Department</w:t>
      </w:r>
    </w:p>
    <w:p w14:paraId="4B779CB5">
      <w:pPr>
        <w:pStyle w:val="35"/>
        <w:numPr>
          <w:ilvl w:val="0"/>
          <w:numId w:val="12"/>
        </w:numPr>
      </w:pPr>
      <w:r>
        <w:t>Labour and Manpower Department</w:t>
      </w:r>
    </w:p>
    <w:p w14:paraId="16A27CEF">
      <w:pPr>
        <w:pStyle w:val="35"/>
        <w:numPr>
          <w:ilvl w:val="0"/>
          <w:numId w:val="12"/>
        </w:numPr>
      </w:pPr>
      <w:r>
        <w:t>The Services and General Administration Department</w:t>
      </w:r>
    </w:p>
    <w:p w14:paraId="5872C3E2">
      <w:pPr>
        <w:pStyle w:val="35"/>
        <w:numPr>
          <w:ilvl w:val="0"/>
          <w:numId w:val="12"/>
        </w:numPr>
      </w:pPr>
      <w:r>
        <w:t>Law and Parliamentary Affairs Department</w:t>
      </w:r>
    </w:p>
    <w:p w14:paraId="16BB3ED1">
      <w:pPr>
        <w:pStyle w:val="35"/>
        <w:numPr>
          <w:ilvl w:val="0"/>
          <w:numId w:val="12"/>
        </w:numPr>
      </w:pPr>
      <w:r>
        <w:t>Prosecution Department</w:t>
      </w:r>
    </w:p>
    <w:p w14:paraId="5B1D5A87">
      <w:pPr>
        <w:pStyle w:val="35"/>
        <w:numPr>
          <w:ilvl w:val="0"/>
          <w:numId w:val="12"/>
        </w:numPr>
      </w:pPr>
      <w:r>
        <w:t>Police Department</w:t>
      </w:r>
    </w:p>
    <w:p w14:paraId="4D643059">
      <w:r>
        <w:t xml:space="preserve">The aforementioned departments shall play a pivotal role in implementing this Policy as per the mandates assigned by the Balochistan Government Rules of Business 2012. In addition to the responsibilities of these key departments, the Social Welfare Department shall also establish a Complaint Cell to monitor and redress grievances related to the role of public functionaries with regards to the rights of transgender persons. </w:t>
      </w:r>
    </w:p>
    <w:p w14:paraId="31CF7D3D">
      <w:r>
        <w:t xml:space="preserve">The last leg for the enforcement of this Policy would remain with the civil society and transgender groups who would act as watchdogs to monitor and facilitate implementation of this Policy for their beneficiaries. </w:t>
      </w:r>
    </w:p>
    <w:p w14:paraId="06D955C7"/>
    <w:sectPr>
      <w:footerReference r:id="rId5" w:type="default"/>
      <w:footerReference r:id="rId6" w:type="even"/>
      <w:pgSz w:w="11900" w:h="16840"/>
      <w:pgMar w:top="1440" w:right="1440" w:bottom="1440" w:left="144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altName w:val="SimSun"/>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swiss"/>
    <w:pitch w:val="default"/>
    <w:sig w:usb0="E4002EFF" w:usb1="C000247B" w:usb2="00000009" w:usb3="00000000" w:csb0="200001FF" w:csb1="00000000"/>
  </w:font>
  <w:font w:name="DengXian Light">
    <w:altName w:val="Segoe Print"/>
    <w:panose1 w:val="00000000000000000000"/>
    <w:charset w:val="00"/>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16ED">
    <w:pPr>
      <w:pStyle w:val="17"/>
      <w:framePr w:wrap="auto" w:vAnchor="text" w:hAnchor="margin" w:xAlign="right" w:y="1"/>
      <w:rPr>
        <w:rStyle w:val="22"/>
      </w:rPr>
    </w:pPr>
    <w:r>
      <w:rPr>
        <w:rStyle w:val="22"/>
      </w:rPr>
      <w:fldChar w:fldCharType="begin"/>
    </w:r>
    <w:r>
      <w:rPr>
        <w:rStyle w:val="22"/>
      </w:rPr>
      <w:instrText xml:space="preserve">PAGE  </w:instrText>
    </w:r>
    <w:r>
      <w:rPr>
        <w:rStyle w:val="22"/>
      </w:rPr>
      <w:fldChar w:fldCharType="separate"/>
    </w:r>
    <w:r>
      <w:rPr>
        <w:rStyle w:val="22"/>
      </w:rPr>
      <w:t>11</w:t>
    </w:r>
    <w:r>
      <w:rPr>
        <w:rStyle w:val="22"/>
      </w:rPr>
      <w:fldChar w:fldCharType="end"/>
    </w:r>
  </w:p>
  <w:p w14:paraId="05760BC4">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9236">
    <w:pPr>
      <w:pStyle w:val="17"/>
      <w:framePr w:wrap="auto" w:vAnchor="text" w:hAnchor="margin" w:xAlign="right" w:y="1"/>
      <w:rPr>
        <w:rStyle w:val="22"/>
      </w:rPr>
    </w:pPr>
    <w:r>
      <w:rPr>
        <w:rStyle w:val="22"/>
      </w:rPr>
      <w:fldChar w:fldCharType="begin"/>
    </w:r>
    <w:r>
      <w:rPr>
        <w:rStyle w:val="22"/>
      </w:rPr>
      <w:instrText xml:space="preserve">PAGE  </w:instrText>
    </w:r>
    <w:r>
      <w:rPr>
        <w:rStyle w:val="22"/>
      </w:rPr>
      <w:fldChar w:fldCharType="end"/>
    </w:r>
  </w:p>
  <w:p w14:paraId="79EA4810">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0">
    <w:p>
      <w:pPr>
        <w:spacing w:before="0" w:after="0" w:line="276" w:lineRule="auto"/>
      </w:pPr>
      <w:r>
        <w:separator/>
      </w:r>
    </w:p>
  </w:footnote>
  <w:footnote w:type="continuationSeparator" w:id="71">
    <w:p>
      <w:pPr>
        <w:spacing w:before="0" w:after="0" w:line="276" w:lineRule="auto"/>
      </w:pPr>
      <w:r>
        <w:continuationSeparator/>
      </w:r>
    </w:p>
  </w:footnote>
  <w:footnote w:id="0">
    <w:p w14:paraId="637B53CF">
      <w:pPr>
        <w:pStyle w:val="19"/>
        <w:rPr>
          <w:sz w:val="20"/>
        </w:rPr>
      </w:pPr>
      <w:r>
        <w:rPr>
          <w:rStyle w:val="18"/>
          <w:sz w:val="20"/>
        </w:rPr>
        <w:footnoteRef/>
      </w:r>
      <w:r>
        <w:rPr>
          <w:sz w:val="20"/>
        </w:rPr>
        <w:t xml:space="preserve"> Section 2(1)(n), Transgender Persons (Protection of Rights) Act 2018</w:t>
      </w:r>
    </w:p>
  </w:footnote>
  <w:footnote w:id="1">
    <w:p w14:paraId="4A230D22">
      <w:pPr>
        <w:pStyle w:val="19"/>
        <w:rPr>
          <w:sz w:val="20"/>
        </w:rPr>
      </w:pPr>
      <w:r>
        <w:rPr>
          <w:rStyle w:val="18"/>
          <w:sz w:val="20"/>
        </w:rPr>
        <w:footnoteRef/>
      </w:r>
      <w:r>
        <w:rPr>
          <w:sz w:val="20"/>
        </w:rPr>
        <w:t xml:space="preserve"> For the purposes of this Policy, the term ‘transgender’ will be used as an umbrella term and will include inter-sex and eunuchs.</w:t>
      </w:r>
    </w:p>
  </w:footnote>
  <w:footnote w:id="2">
    <w:p w14:paraId="0DD8CF24">
      <w:pPr>
        <w:pStyle w:val="19"/>
        <w:rPr>
          <w:sz w:val="20"/>
        </w:rPr>
      </w:pPr>
      <w:r>
        <w:rPr>
          <w:rStyle w:val="18"/>
          <w:sz w:val="20"/>
        </w:rPr>
        <w:footnoteRef/>
      </w:r>
      <w:r>
        <w:rPr>
          <w:sz w:val="20"/>
        </w:rPr>
        <w:t xml:space="preserve"> Section 3, Transgender Persons (Protection of Rights) Act 2018</w:t>
      </w:r>
    </w:p>
  </w:footnote>
  <w:footnote w:id="3">
    <w:p w14:paraId="38353111">
      <w:pPr>
        <w:pStyle w:val="19"/>
        <w:rPr>
          <w:sz w:val="20"/>
        </w:rPr>
      </w:pPr>
      <w:r>
        <w:rPr>
          <w:rStyle w:val="18"/>
          <w:sz w:val="20"/>
        </w:rPr>
        <w:footnoteRef/>
      </w:r>
      <w:r>
        <w:rPr>
          <w:sz w:val="20"/>
        </w:rPr>
        <w:t xml:space="preserve"> Section 4, ibid</w:t>
      </w:r>
    </w:p>
  </w:footnote>
  <w:footnote w:id="4">
    <w:p w14:paraId="591E2A7A">
      <w:pPr>
        <w:pStyle w:val="19"/>
        <w:rPr>
          <w:sz w:val="20"/>
        </w:rPr>
      </w:pPr>
      <w:r>
        <w:rPr>
          <w:rStyle w:val="18"/>
          <w:sz w:val="20"/>
        </w:rPr>
        <w:footnoteRef/>
      </w:r>
      <w:r>
        <w:rPr>
          <w:sz w:val="20"/>
        </w:rPr>
        <w:t xml:space="preserve"> Section 5, ibid</w:t>
      </w:r>
    </w:p>
  </w:footnote>
  <w:footnote w:id="5">
    <w:p w14:paraId="6C324619">
      <w:pPr>
        <w:pStyle w:val="19"/>
        <w:rPr>
          <w:sz w:val="20"/>
        </w:rPr>
      </w:pPr>
      <w:r>
        <w:rPr>
          <w:rStyle w:val="18"/>
          <w:sz w:val="20"/>
        </w:rPr>
        <w:footnoteRef/>
      </w:r>
      <w:r>
        <w:rPr>
          <w:sz w:val="20"/>
        </w:rPr>
        <w:t xml:space="preserve"> Section 7, ibid</w:t>
      </w:r>
    </w:p>
  </w:footnote>
  <w:footnote w:id="6">
    <w:p w14:paraId="423BB0C8">
      <w:pPr>
        <w:pStyle w:val="19"/>
        <w:rPr>
          <w:sz w:val="20"/>
        </w:rPr>
      </w:pPr>
      <w:r>
        <w:rPr>
          <w:rStyle w:val="18"/>
          <w:sz w:val="20"/>
        </w:rPr>
        <w:footnoteRef/>
      </w:r>
      <w:r>
        <w:rPr>
          <w:sz w:val="20"/>
        </w:rPr>
        <w:t xml:space="preserve"> Section 8, ibid</w:t>
      </w:r>
    </w:p>
  </w:footnote>
  <w:footnote w:id="7">
    <w:p w14:paraId="01565685">
      <w:pPr>
        <w:pStyle w:val="19"/>
        <w:rPr>
          <w:sz w:val="20"/>
        </w:rPr>
      </w:pPr>
      <w:r>
        <w:rPr>
          <w:rStyle w:val="18"/>
          <w:sz w:val="20"/>
        </w:rPr>
        <w:footnoteRef/>
      </w:r>
      <w:r>
        <w:rPr>
          <w:sz w:val="20"/>
        </w:rPr>
        <w:t xml:space="preserve"> Section 9, ibid</w:t>
      </w:r>
    </w:p>
  </w:footnote>
  <w:footnote w:id="8">
    <w:p w14:paraId="76FB026A">
      <w:pPr>
        <w:pStyle w:val="19"/>
        <w:rPr>
          <w:sz w:val="20"/>
        </w:rPr>
      </w:pPr>
      <w:r>
        <w:rPr>
          <w:rStyle w:val="18"/>
          <w:sz w:val="20"/>
        </w:rPr>
        <w:footnoteRef/>
      </w:r>
      <w:r>
        <w:rPr>
          <w:sz w:val="20"/>
        </w:rPr>
        <w:t xml:space="preserve"> Section 10 &amp; 11, ibid</w:t>
      </w:r>
    </w:p>
  </w:footnote>
  <w:footnote w:id="9">
    <w:p w14:paraId="65C477F7">
      <w:pPr>
        <w:pStyle w:val="19"/>
        <w:rPr>
          <w:sz w:val="20"/>
        </w:rPr>
      </w:pPr>
      <w:r>
        <w:rPr>
          <w:rStyle w:val="18"/>
          <w:sz w:val="20"/>
        </w:rPr>
        <w:footnoteRef/>
      </w:r>
      <w:r>
        <w:rPr>
          <w:sz w:val="20"/>
        </w:rPr>
        <w:t xml:space="preserve"> Section 12, ibid</w:t>
      </w:r>
    </w:p>
  </w:footnote>
  <w:footnote w:id="10">
    <w:p w14:paraId="5EC53094">
      <w:pPr>
        <w:pStyle w:val="19"/>
        <w:rPr>
          <w:sz w:val="20"/>
        </w:rPr>
      </w:pPr>
      <w:r>
        <w:rPr>
          <w:rStyle w:val="18"/>
          <w:sz w:val="20"/>
        </w:rPr>
        <w:footnoteRef/>
      </w:r>
      <w:r>
        <w:rPr>
          <w:sz w:val="20"/>
        </w:rPr>
        <w:t xml:space="preserve"> Section 13, ibid</w:t>
      </w:r>
    </w:p>
  </w:footnote>
  <w:footnote w:id="11">
    <w:p w14:paraId="479226C6">
      <w:pPr>
        <w:pStyle w:val="19"/>
        <w:rPr>
          <w:sz w:val="20"/>
        </w:rPr>
      </w:pPr>
      <w:r>
        <w:rPr>
          <w:rStyle w:val="18"/>
          <w:sz w:val="20"/>
        </w:rPr>
        <w:footnoteRef/>
      </w:r>
      <w:r>
        <w:rPr>
          <w:sz w:val="20"/>
        </w:rPr>
        <w:t xml:space="preserve"> Section 14, ibid</w:t>
      </w:r>
    </w:p>
  </w:footnote>
  <w:footnote w:id="12">
    <w:p w14:paraId="4CAF980E">
      <w:pPr>
        <w:pStyle w:val="19"/>
        <w:rPr>
          <w:sz w:val="20"/>
        </w:rPr>
      </w:pPr>
      <w:r>
        <w:rPr>
          <w:rStyle w:val="18"/>
          <w:sz w:val="20"/>
        </w:rPr>
        <w:footnoteRef/>
      </w:r>
      <w:r>
        <w:rPr>
          <w:sz w:val="20"/>
        </w:rPr>
        <w:t xml:space="preserve"> Section 15, ibid</w:t>
      </w:r>
    </w:p>
  </w:footnote>
  <w:footnote w:id="13">
    <w:p w14:paraId="1EC213C5">
      <w:pPr>
        <w:pStyle w:val="19"/>
        <w:rPr>
          <w:sz w:val="20"/>
        </w:rPr>
      </w:pPr>
      <w:r>
        <w:rPr>
          <w:rStyle w:val="18"/>
          <w:sz w:val="20"/>
        </w:rPr>
        <w:footnoteRef/>
      </w:r>
      <w:r>
        <w:rPr>
          <w:sz w:val="20"/>
        </w:rPr>
        <w:t xml:space="preserve"> Section 6, ibid</w:t>
      </w:r>
    </w:p>
  </w:footnote>
  <w:footnote w:id="14">
    <w:p w14:paraId="62414DC5">
      <w:pPr>
        <w:pStyle w:val="19"/>
        <w:rPr>
          <w:lang w:val="en-US"/>
        </w:rPr>
      </w:pPr>
      <w:r>
        <w:rPr>
          <w:rStyle w:val="18"/>
        </w:rPr>
        <w:footnoteRef/>
      </w:r>
      <w:r>
        <w:t xml:space="preserve"> </w:t>
      </w:r>
      <w:r>
        <w:fldChar w:fldCharType="begin"/>
      </w:r>
      <w:r>
        <w:instrText xml:space="preserve"> HYPERLINK "https://www.undp.org/pakistan/blog/promoting-inclusion-and-protection-pakistans-national-strategic-framework-transgender-persons" \l ":~:text=The%20Transgender%20Persons%20(Protection%20of,May%202023%2C%20citing%20religious%20injunctions" </w:instrText>
      </w:r>
      <w:r>
        <w:fldChar w:fldCharType="separate"/>
      </w:r>
      <w:r>
        <w:rPr>
          <w:rStyle w:val="20"/>
        </w:rPr>
        <w:t>https://www.undp.org/pakistan/blog/promoting-inclusion-and-protection-pakistans-national-strategic-framework-transgender-persons#:~:text=The%20Transgender%20Persons%20(Protection%20of,May%202023%2C%20citing%20religious%20injunctions</w:t>
      </w:r>
      <w:r>
        <w:rPr>
          <w:rStyle w:val="20"/>
        </w:rPr>
        <w:fldChar w:fldCharType="end"/>
      </w:r>
      <w:r>
        <w:t xml:space="preserve"> </w:t>
      </w:r>
    </w:p>
  </w:footnote>
  <w:footnote w:id="15">
    <w:p w14:paraId="6DFD47E8">
      <w:pPr>
        <w:pStyle w:val="19"/>
        <w:rPr>
          <w:lang w:val="en-US"/>
        </w:rPr>
      </w:pPr>
      <w:r>
        <w:rPr>
          <w:rStyle w:val="18"/>
        </w:rPr>
        <w:footnoteRef/>
      </w:r>
      <w:r>
        <w:t xml:space="preserve"> </w:t>
      </w:r>
      <w:r>
        <w:fldChar w:fldCharType="begin"/>
      </w:r>
      <w:r>
        <w:instrText xml:space="preserve"> HYPERLINK "https://www.geo.tv/latest/529409-election-2024-how-two-trans-candidates-are-trying-to-engender-change" </w:instrText>
      </w:r>
      <w:r>
        <w:fldChar w:fldCharType="separate"/>
      </w:r>
      <w:r>
        <w:rPr>
          <w:rStyle w:val="20"/>
        </w:rPr>
        <w:t>https://www.geo.tv/latest/529409-election-2024-how-two-trans-candidates-are-trying-to-engender-change</w:t>
      </w:r>
      <w:r>
        <w:rPr>
          <w:rStyle w:val="20"/>
        </w:rPr>
        <w:fldChar w:fldCharType="end"/>
      </w:r>
      <w:r>
        <w:t xml:space="preserve"> </w:t>
      </w:r>
    </w:p>
  </w:footnote>
  <w:footnote w:id="16">
    <w:p w14:paraId="417887ED">
      <w:pPr>
        <w:pStyle w:val="19"/>
        <w:rPr>
          <w:sz w:val="20"/>
        </w:rPr>
      </w:pPr>
      <w:r>
        <w:rPr>
          <w:rStyle w:val="18"/>
          <w:sz w:val="20"/>
        </w:rPr>
        <w:footnoteRef/>
      </w:r>
      <w:r>
        <w:rPr>
          <w:sz w:val="20"/>
        </w:rPr>
        <w:t xml:space="preserve"> </w:t>
      </w:r>
      <w:r>
        <w:fldChar w:fldCharType="begin"/>
      </w:r>
      <w:r>
        <w:instrText xml:space="preserve"> HYPERLINK "http://www.pbs.gov.pk/content/provisional-summary-results-6th-population-and-housing-census-2017-0" </w:instrText>
      </w:r>
      <w:r>
        <w:fldChar w:fldCharType="separate"/>
      </w:r>
      <w:r>
        <w:rPr>
          <w:rStyle w:val="20"/>
          <w:sz w:val="20"/>
        </w:rPr>
        <w:t>http://www.pbs.gov.pk/content/provisional-summary-results-6th-population-and-housing-census-2017-0</w:t>
      </w:r>
      <w:r>
        <w:rPr>
          <w:rStyle w:val="20"/>
          <w:sz w:val="20"/>
        </w:rPr>
        <w:fldChar w:fldCharType="end"/>
      </w:r>
      <w:r>
        <w:rPr>
          <w:sz w:val="20"/>
        </w:rPr>
        <w:t xml:space="preserve"> </w:t>
      </w:r>
    </w:p>
  </w:footnote>
  <w:footnote w:id="17">
    <w:p w14:paraId="2E722E3B">
      <w:pPr>
        <w:pStyle w:val="19"/>
        <w:rPr>
          <w:lang w:val="en-US"/>
        </w:rPr>
      </w:pPr>
      <w:r>
        <w:rPr>
          <w:rStyle w:val="18"/>
        </w:rPr>
        <w:footnoteRef/>
      </w:r>
      <w:r>
        <w:t xml:space="preserve"> </w:t>
      </w:r>
      <w:r>
        <w:fldChar w:fldCharType="begin"/>
      </w:r>
      <w:r>
        <w:instrText xml:space="preserve"> HYPERLINK "https://voicepk.net/2024/02/why-is-the-transgender-community-in-quetta-so-angry/" \l ":~:text=Despite%20the%20Transgender%20Persons%20Act,780%20transgender%20individuals%20in%20Balochistan" </w:instrText>
      </w:r>
      <w:r>
        <w:fldChar w:fldCharType="separate"/>
      </w:r>
      <w:r>
        <w:rPr>
          <w:rStyle w:val="20"/>
        </w:rPr>
        <w:t>https://voicepk.net/2024/02/why-is-the-transgender-community-in-quetta-so-angry/#:~:text=Despite%20the%20Transgender%20Persons%20Act,780%20transgender%20individuals%20in%20Balochistan</w:t>
      </w:r>
      <w:r>
        <w:rPr>
          <w:rStyle w:val="20"/>
        </w:rPr>
        <w:fldChar w:fldCharType="end"/>
      </w:r>
      <w:r>
        <w:t xml:space="preserve"> </w:t>
      </w:r>
    </w:p>
  </w:footnote>
  <w:footnote w:id="18">
    <w:p w14:paraId="38E91FDB">
      <w:pPr>
        <w:pStyle w:val="19"/>
        <w:rPr>
          <w:sz w:val="20"/>
        </w:rPr>
      </w:pPr>
      <w:r>
        <w:rPr>
          <w:rStyle w:val="18"/>
          <w:sz w:val="20"/>
        </w:rPr>
        <w:footnoteRef/>
      </w:r>
      <w:r>
        <w:rPr>
          <w:sz w:val="20"/>
        </w:rPr>
        <w:t xml:space="preserve"> </w:t>
      </w:r>
      <w:r>
        <w:fldChar w:fldCharType="begin"/>
      </w:r>
      <w:r>
        <w:instrText xml:space="preserve"> HYPERLINK "https://dailytimes.com.pk/128549/body-transgender-found-peshawar/" </w:instrText>
      </w:r>
      <w:r>
        <w:fldChar w:fldCharType="separate"/>
      </w:r>
      <w:r>
        <w:rPr>
          <w:rStyle w:val="20"/>
          <w:sz w:val="20"/>
        </w:rPr>
        <w:t>https://dailytimes.com.pk/128549/body-transgender-found-peshawar/</w:t>
      </w:r>
      <w:r>
        <w:rPr>
          <w:rStyle w:val="20"/>
          <w:sz w:val="20"/>
        </w:rPr>
        <w:fldChar w:fldCharType="end"/>
      </w:r>
    </w:p>
  </w:footnote>
  <w:footnote w:id="19">
    <w:p w14:paraId="7D33AC7A">
      <w:pPr>
        <w:pStyle w:val="19"/>
        <w:rPr>
          <w:sz w:val="20"/>
        </w:rPr>
      </w:pPr>
      <w:r>
        <w:rPr>
          <w:rStyle w:val="18"/>
          <w:sz w:val="20"/>
        </w:rPr>
        <w:footnoteRef/>
      </w:r>
      <w:r>
        <w:rPr>
          <w:sz w:val="20"/>
        </w:rPr>
        <w:t xml:space="preserve"> </w:t>
      </w:r>
      <w:r>
        <w:fldChar w:fldCharType="begin"/>
      </w:r>
      <w:r>
        <w:instrText xml:space="preserve"> HYPERLINK "https://www.samaa.tv/news/2018/09/500-transgender-people-have-been-killed-in-pakistan-since-2015-sc-told/" </w:instrText>
      </w:r>
      <w:r>
        <w:fldChar w:fldCharType="separate"/>
      </w:r>
      <w:r>
        <w:rPr>
          <w:rStyle w:val="20"/>
          <w:sz w:val="20"/>
        </w:rPr>
        <w:t>https://www.samaa.tv/news/2018/09/500-transgender-people-have-been-killed-in-pakistan-since-2015-sc-told/</w:t>
      </w:r>
      <w:r>
        <w:rPr>
          <w:rStyle w:val="20"/>
          <w:sz w:val="20"/>
        </w:rPr>
        <w:fldChar w:fldCharType="end"/>
      </w:r>
      <w:r>
        <w:rPr>
          <w:sz w:val="20"/>
        </w:rPr>
        <w:t xml:space="preserve"> </w:t>
      </w:r>
    </w:p>
  </w:footnote>
  <w:footnote w:id="20">
    <w:p w14:paraId="7D236B1D">
      <w:pPr>
        <w:pStyle w:val="19"/>
      </w:pPr>
      <w:r>
        <w:rPr>
          <w:rStyle w:val="18"/>
          <w:sz w:val="20"/>
        </w:rPr>
        <w:footnoteRef/>
      </w:r>
      <w:r>
        <w:rPr>
          <w:sz w:val="20"/>
        </w:rPr>
        <w:t xml:space="preserve"> Article 9, Constitution of Pakistan</w:t>
      </w:r>
    </w:p>
  </w:footnote>
  <w:footnote w:id="21">
    <w:p w14:paraId="1F5041A7">
      <w:pPr>
        <w:pStyle w:val="19"/>
        <w:rPr>
          <w:sz w:val="20"/>
        </w:rPr>
      </w:pPr>
      <w:r>
        <w:rPr>
          <w:rStyle w:val="18"/>
          <w:sz w:val="20"/>
        </w:rPr>
        <w:footnoteRef/>
      </w:r>
      <w:r>
        <w:rPr>
          <w:sz w:val="20"/>
        </w:rPr>
        <w:t xml:space="preserve"> Section 3(1), Transgender Persons (Protection of Rights) Act 2018</w:t>
      </w:r>
    </w:p>
  </w:footnote>
  <w:footnote w:id="22">
    <w:p w14:paraId="68C9325D">
      <w:pPr>
        <w:pStyle w:val="19"/>
        <w:rPr>
          <w:sz w:val="20"/>
        </w:rPr>
      </w:pPr>
      <w:r>
        <w:rPr>
          <w:rStyle w:val="18"/>
          <w:sz w:val="20"/>
        </w:rPr>
        <w:footnoteRef/>
      </w:r>
      <w:r>
        <w:rPr>
          <w:sz w:val="20"/>
        </w:rPr>
        <w:t xml:space="preserve"> Section 3(4), ibid</w:t>
      </w:r>
    </w:p>
  </w:footnote>
  <w:footnote w:id="23">
    <w:p w14:paraId="5CB6618F">
      <w:pPr>
        <w:pStyle w:val="19"/>
        <w:rPr>
          <w:sz w:val="20"/>
        </w:rPr>
      </w:pPr>
      <w:r>
        <w:rPr>
          <w:rStyle w:val="18"/>
          <w:sz w:val="20"/>
        </w:rPr>
        <w:footnoteRef/>
      </w:r>
      <w:r>
        <w:rPr>
          <w:sz w:val="20"/>
        </w:rPr>
        <w:t xml:space="preserve"> Human Rights Committee, </w:t>
      </w:r>
      <w:r>
        <w:rPr>
          <w:i/>
          <w:iCs/>
          <w:sz w:val="20"/>
        </w:rPr>
        <w:t>Concluding Observations on the Initial Report of Pakistan</w:t>
      </w:r>
      <w:r>
        <w:rPr>
          <w:sz w:val="20"/>
        </w:rPr>
        <w:t> (United Nations: July 2017) 2</w:t>
      </w:r>
    </w:p>
  </w:footnote>
  <w:footnote w:id="24">
    <w:p w14:paraId="00547506">
      <w:pPr>
        <w:pStyle w:val="19"/>
        <w:rPr>
          <w:sz w:val="20"/>
        </w:rPr>
      </w:pPr>
      <w:r>
        <w:rPr>
          <w:rStyle w:val="18"/>
          <w:sz w:val="20"/>
        </w:rPr>
        <w:footnoteRef/>
      </w:r>
      <w:r>
        <w:rPr>
          <w:sz w:val="20"/>
        </w:rPr>
        <w:t xml:space="preserve"> Section 7(3), Transgender Persons (Protection of Rights) Act 2018</w:t>
      </w:r>
    </w:p>
  </w:footnote>
  <w:footnote w:id="25">
    <w:p w14:paraId="3E107C94">
      <w:pPr>
        <w:pStyle w:val="19"/>
        <w:rPr>
          <w:sz w:val="20"/>
        </w:rPr>
      </w:pPr>
      <w:r>
        <w:rPr>
          <w:rStyle w:val="18"/>
          <w:sz w:val="20"/>
        </w:rPr>
        <w:footnoteRef/>
      </w:r>
      <w:r>
        <w:rPr>
          <w:sz w:val="20"/>
        </w:rPr>
        <w:t xml:space="preserve"> Section 328, Pakistan Penal Code 1860</w:t>
      </w:r>
    </w:p>
  </w:footnote>
  <w:footnote w:id="26">
    <w:p w14:paraId="6439E857">
      <w:pPr>
        <w:pStyle w:val="19"/>
        <w:rPr>
          <w:sz w:val="20"/>
        </w:rPr>
      </w:pPr>
      <w:r>
        <w:rPr>
          <w:rStyle w:val="18"/>
          <w:sz w:val="20"/>
        </w:rPr>
        <w:footnoteRef/>
      </w:r>
      <w:r>
        <w:rPr>
          <w:sz w:val="20"/>
        </w:rPr>
        <w:t xml:space="preserve"> Section 329, Pakistan Penal Code 1860</w:t>
      </w:r>
    </w:p>
  </w:footnote>
  <w:footnote w:id="27">
    <w:p w14:paraId="26241292">
      <w:pPr>
        <w:pStyle w:val="19"/>
        <w:rPr>
          <w:sz w:val="20"/>
        </w:rPr>
      </w:pPr>
      <w:r>
        <w:rPr>
          <w:rStyle w:val="18"/>
          <w:sz w:val="20"/>
        </w:rPr>
        <w:footnoteRef/>
      </w:r>
      <w:r>
        <w:rPr>
          <w:sz w:val="20"/>
        </w:rPr>
        <w:t xml:space="preserve"> </w:t>
      </w:r>
      <w:r>
        <w:fldChar w:fldCharType="begin"/>
      </w:r>
      <w:r>
        <w:instrText xml:space="preserve"> HYPERLINK "https://tribune.com.pk/story/1537643/1-transgender-person-tortured-death-peshawar/" </w:instrText>
      </w:r>
      <w:r>
        <w:fldChar w:fldCharType="separate"/>
      </w:r>
      <w:r>
        <w:rPr>
          <w:rStyle w:val="20"/>
          <w:sz w:val="20"/>
        </w:rPr>
        <w:t>https://tribune.com.pk/story/1537643/1-transgender-person-tortured-death-peshawar/</w:t>
      </w:r>
      <w:r>
        <w:rPr>
          <w:rStyle w:val="20"/>
          <w:sz w:val="20"/>
        </w:rPr>
        <w:fldChar w:fldCharType="end"/>
      </w:r>
    </w:p>
  </w:footnote>
  <w:footnote w:id="28">
    <w:p w14:paraId="4BF36809">
      <w:pPr>
        <w:pStyle w:val="19"/>
        <w:rPr>
          <w:sz w:val="20"/>
        </w:rPr>
      </w:pPr>
      <w:r>
        <w:rPr>
          <w:rStyle w:val="18"/>
          <w:sz w:val="20"/>
        </w:rPr>
        <w:footnoteRef/>
      </w:r>
      <w:r>
        <w:rPr>
          <w:sz w:val="20"/>
        </w:rPr>
        <w:t xml:space="preserve"> Waqar Gillani , 'Survey warns rise in HIV AIDS in key populations of Pakistan' (</w:t>
      </w:r>
      <w:r>
        <w:rPr>
          <w:i/>
          <w:iCs/>
          <w:sz w:val="20"/>
        </w:rPr>
        <w:t>News Lens Pakistan</w:t>
      </w:r>
      <w:r>
        <w:rPr>
          <w:sz w:val="20"/>
        </w:rPr>
        <w:t>, 1 July 2017) &lt;http://www.newslens.pk/hiv-aids-key-populations-pakistan/&gt;</w:t>
      </w:r>
    </w:p>
  </w:footnote>
  <w:footnote w:id="29">
    <w:p w14:paraId="2E690859">
      <w:pPr>
        <w:pStyle w:val="19"/>
        <w:rPr>
          <w:sz w:val="20"/>
        </w:rPr>
      </w:pPr>
      <w:r>
        <w:rPr>
          <w:rStyle w:val="18"/>
          <w:sz w:val="20"/>
        </w:rPr>
        <w:footnoteRef/>
      </w:r>
      <w:r>
        <w:rPr>
          <w:sz w:val="20"/>
        </w:rPr>
        <w:t xml:space="preserve"> Article 25A, Constitution of Pakistan 1973</w:t>
      </w:r>
    </w:p>
  </w:footnote>
  <w:footnote w:id="30">
    <w:p w14:paraId="34A9F286">
      <w:pPr>
        <w:pStyle w:val="19"/>
        <w:rPr>
          <w:sz w:val="20"/>
        </w:rPr>
      </w:pPr>
      <w:r>
        <w:rPr>
          <w:rStyle w:val="18"/>
          <w:sz w:val="20"/>
        </w:rPr>
        <w:footnoteRef/>
      </w:r>
      <w:r>
        <w:rPr>
          <w:sz w:val="20"/>
        </w:rPr>
        <w:t xml:space="preserve"> Khadija Ali, Recognition to Rights: Reflecting the Legislative Process for Transgender Rights in Pakistan (FDI: 2018)</w:t>
      </w:r>
    </w:p>
  </w:footnote>
  <w:footnote w:id="31">
    <w:p w14:paraId="703A6242">
      <w:pPr>
        <w:pStyle w:val="19"/>
        <w:rPr>
          <w:sz w:val="20"/>
        </w:rPr>
      </w:pPr>
      <w:r>
        <w:rPr>
          <w:rStyle w:val="18"/>
          <w:sz w:val="20"/>
        </w:rPr>
        <w:footnoteRef/>
      </w:r>
      <w:r>
        <w:rPr>
          <w:sz w:val="20"/>
        </w:rPr>
        <w:t xml:space="preserve"> Section 6, Prevention of Trafficking in Persons Act 2018</w:t>
      </w:r>
    </w:p>
  </w:footnote>
  <w:footnote w:id="32">
    <w:p w14:paraId="6C920654">
      <w:pPr>
        <w:pStyle w:val="19"/>
        <w:rPr>
          <w:sz w:val="20"/>
        </w:rPr>
      </w:pPr>
      <w:r>
        <w:rPr>
          <w:rStyle w:val="18"/>
          <w:sz w:val="20"/>
        </w:rPr>
        <w:footnoteRef/>
      </w:r>
      <w:r>
        <w:rPr>
          <w:sz w:val="20"/>
        </w:rPr>
        <w:t xml:space="preserve"> Ahmad Shah Azami, 'Supreme Court Ruling Gives Pakistan's Beleaguered Transgender PersonsNew Hope' </w:t>
      </w:r>
    </w:p>
    <w:p w14:paraId="3909C0D3">
      <w:pPr>
        <w:pStyle w:val="19"/>
        <w:rPr>
          <w:sz w:val="20"/>
        </w:rPr>
      </w:pPr>
      <w:r>
        <w:rPr>
          <w:sz w:val="20"/>
        </w:rPr>
        <w:t>(</w:t>
      </w:r>
      <w:r>
        <w:rPr>
          <w:i/>
          <w:iCs/>
          <w:sz w:val="20"/>
        </w:rPr>
        <w:t>Radio Free Europe/Radio Liberty</w:t>
      </w:r>
      <w:r>
        <w:rPr>
          <w:sz w:val="20"/>
        </w:rPr>
        <w:t>, 20 November 2011)</w:t>
      </w:r>
    </w:p>
    <w:p w14:paraId="46371F51">
      <w:pPr>
        <w:pStyle w:val="19"/>
        <w:rPr>
          <w:sz w:val="20"/>
        </w:rPr>
      </w:pPr>
      <w:r>
        <w:rPr>
          <w:sz w:val="20"/>
        </w:rPr>
        <w:t>&lt;https://www.rferl.org/a/pakistan_beleagured_transgender_community_given_new_hope/24396423.html&gt; </w:t>
      </w:r>
    </w:p>
  </w:footnote>
  <w:footnote w:id="33">
    <w:p w14:paraId="7DD9ADB2">
      <w:pPr>
        <w:pStyle w:val="19"/>
        <w:rPr>
          <w:sz w:val="20"/>
        </w:rPr>
      </w:pPr>
      <w:r>
        <w:rPr>
          <w:rStyle w:val="18"/>
          <w:sz w:val="20"/>
        </w:rPr>
        <w:footnoteRef/>
      </w:r>
      <w:r>
        <w:rPr>
          <w:sz w:val="20"/>
        </w:rPr>
        <w:t xml:space="preserve"> </w:t>
      </w:r>
      <w:r>
        <w:fldChar w:fldCharType="begin"/>
      </w:r>
      <w:r>
        <w:instrText xml:space="preserve"> HYPERLINK "https://nation.com.pk/15-Jun-2018/transgender-candidates" </w:instrText>
      </w:r>
      <w:r>
        <w:fldChar w:fldCharType="separate"/>
      </w:r>
      <w:r>
        <w:rPr>
          <w:rStyle w:val="20"/>
          <w:sz w:val="20"/>
        </w:rPr>
        <w:t>https://nation.com.pk/15-Jun-2018/transgender-candidates</w:t>
      </w:r>
      <w:r>
        <w:rPr>
          <w:rStyle w:val="20"/>
          <w:sz w:val="20"/>
        </w:rPr>
        <w:fldChar w:fldCharType="end"/>
      </w:r>
      <w:r>
        <w:rPr>
          <w:sz w:val="20"/>
        </w:rPr>
        <w:t xml:space="preserve"> </w:t>
      </w:r>
    </w:p>
  </w:footnote>
  <w:footnote w:id="34">
    <w:p w14:paraId="03087FB9">
      <w:pPr>
        <w:pStyle w:val="19"/>
        <w:rPr>
          <w:sz w:val="20"/>
        </w:rPr>
      </w:pPr>
      <w:r>
        <w:rPr>
          <w:rStyle w:val="18"/>
          <w:sz w:val="20"/>
        </w:rPr>
        <w:footnoteRef/>
      </w:r>
      <w:r>
        <w:rPr>
          <w:sz w:val="20"/>
        </w:rPr>
        <w:t xml:space="preserve"> </w:t>
      </w:r>
      <w:r>
        <w:fldChar w:fldCharType="begin"/>
      </w:r>
      <w:r>
        <w:instrText xml:space="preserve"> HYPERLINK "https://www.dawn.com/news/1389871" </w:instrText>
      </w:r>
      <w:r>
        <w:fldChar w:fldCharType="separate"/>
      </w:r>
      <w:r>
        <w:rPr>
          <w:rStyle w:val="20"/>
          <w:sz w:val="20"/>
        </w:rPr>
        <w:t>https://www.dawn.com/news/1389871</w:t>
      </w:r>
      <w:r>
        <w:rPr>
          <w:rStyle w:val="20"/>
          <w:sz w:val="20"/>
        </w:rPr>
        <w:fldChar w:fldCharType="end"/>
      </w:r>
      <w:r>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86004"/>
    <w:multiLevelType w:val="multilevel"/>
    <w:tmpl w:val="16A8600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E56BF2"/>
    <w:multiLevelType w:val="multilevel"/>
    <w:tmpl w:val="1EE56BF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32092F9B"/>
    <w:multiLevelType w:val="multilevel"/>
    <w:tmpl w:val="32092F9B"/>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337263C9"/>
    <w:multiLevelType w:val="multilevel"/>
    <w:tmpl w:val="337263C9"/>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4D8659D4"/>
    <w:multiLevelType w:val="multilevel"/>
    <w:tmpl w:val="4D8659D4"/>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51903ADC"/>
    <w:multiLevelType w:val="multilevel"/>
    <w:tmpl w:val="51903ADC"/>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63BD1372"/>
    <w:multiLevelType w:val="multilevel"/>
    <w:tmpl w:val="63BD1372"/>
    <w:lvl w:ilvl="0" w:tentative="0">
      <w:start w:val="1"/>
      <w:numFmt w:val="decimal"/>
      <w:lvlText w:val="%1."/>
      <w:lvlJc w:val="left"/>
      <w:pPr>
        <w:ind w:left="720" w:hanging="360"/>
      </w:p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A3835B2"/>
    <w:multiLevelType w:val="multilevel"/>
    <w:tmpl w:val="6A3835B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6BF56B69"/>
    <w:multiLevelType w:val="multilevel"/>
    <w:tmpl w:val="6BF56B69"/>
    <w:lvl w:ilvl="0" w:tentative="0">
      <w:start w:val="1"/>
      <w:numFmt w:val="decimal"/>
      <w:lvlText w:val="%1."/>
      <w:lvlJc w:val="left"/>
      <w:pPr>
        <w:ind w:left="72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6E08760A"/>
    <w:multiLevelType w:val="multilevel"/>
    <w:tmpl w:val="6E08760A"/>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7A1C5CC3"/>
    <w:multiLevelType w:val="multilevel"/>
    <w:tmpl w:val="7A1C5CC3"/>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7A380F92"/>
    <w:multiLevelType w:val="multilevel"/>
    <w:tmpl w:val="7A380F9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4"/>
  </w:num>
  <w:num w:numId="2">
    <w:abstractNumId w:val="6"/>
  </w:num>
  <w:num w:numId="3">
    <w:abstractNumId w:val="0"/>
  </w:num>
  <w:num w:numId="4">
    <w:abstractNumId w:val="8"/>
  </w:num>
  <w:num w:numId="5">
    <w:abstractNumId w:val="10"/>
  </w:num>
  <w:num w:numId="6">
    <w:abstractNumId w:val="1"/>
  </w:num>
  <w:num w:numId="7">
    <w:abstractNumId w:val="9"/>
  </w:num>
  <w:num w:numId="8">
    <w:abstractNumId w:val="5"/>
  </w:num>
  <w:num w:numId="9">
    <w:abstractNumId w:val="2"/>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drawingGridHorizontalSpacing w:val="120"/>
  <w:displayHorizontalDrawingGridEvery w:val="2"/>
  <w:displayVerticalDrawingGridEvery w:val="2"/>
  <w:characterSpacingControl w:val="doNotCompress"/>
  <w:footnotePr>
    <w:footnote w:id="70"/>
    <w:footnote w:id="7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5C"/>
    <w:rsid w:val="000245C5"/>
    <w:rsid w:val="00044894"/>
    <w:rsid w:val="0006031B"/>
    <w:rsid w:val="00063590"/>
    <w:rsid w:val="000762C1"/>
    <w:rsid w:val="00076A6C"/>
    <w:rsid w:val="000836B1"/>
    <w:rsid w:val="00091A31"/>
    <w:rsid w:val="00092F0F"/>
    <w:rsid w:val="00094163"/>
    <w:rsid w:val="000B7BAB"/>
    <w:rsid w:val="000C7D88"/>
    <w:rsid w:val="000E5172"/>
    <w:rsid w:val="000E5556"/>
    <w:rsid w:val="000F571B"/>
    <w:rsid w:val="00101363"/>
    <w:rsid w:val="00115D95"/>
    <w:rsid w:val="00126FE3"/>
    <w:rsid w:val="00127FEF"/>
    <w:rsid w:val="00150EC7"/>
    <w:rsid w:val="00166880"/>
    <w:rsid w:val="001A4E56"/>
    <w:rsid w:val="001A6F87"/>
    <w:rsid w:val="001B7536"/>
    <w:rsid w:val="001D638E"/>
    <w:rsid w:val="001E3D04"/>
    <w:rsid w:val="00213E7F"/>
    <w:rsid w:val="0022094E"/>
    <w:rsid w:val="00253DE9"/>
    <w:rsid w:val="00256FFE"/>
    <w:rsid w:val="00270CE4"/>
    <w:rsid w:val="0027639C"/>
    <w:rsid w:val="00276BA6"/>
    <w:rsid w:val="002C6664"/>
    <w:rsid w:val="002F371A"/>
    <w:rsid w:val="0030082A"/>
    <w:rsid w:val="0030158C"/>
    <w:rsid w:val="00302212"/>
    <w:rsid w:val="00306D00"/>
    <w:rsid w:val="00315CB7"/>
    <w:rsid w:val="003445A0"/>
    <w:rsid w:val="003534F6"/>
    <w:rsid w:val="00364148"/>
    <w:rsid w:val="00370ED8"/>
    <w:rsid w:val="00376658"/>
    <w:rsid w:val="003B12DC"/>
    <w:rsid w:val="003B4F2F"/>
    <w:rsid w:val="003C4418"/>
    <w:rsid w:val="003C5299"/>
    <w:rsid w:val="003F5590"/>
    <w:rsid w:val="00400C95"/>
    <w:rsid w:val="00424F6A"/>
    <w:rsid w:val="004326A9"/>
    <w:rsid w:val="00443E49"/>
    <w:rsid w:val="00445E1C"/>
    <w:rsid w:val="0045643E"/>
    <w:rsid w:val="0046212A"/>
    <w:rsid w:val="00476A23"/>
    <w:rsid w:val="0048308C"/>
    <w:rsid w:val="004842DA"/>
    <w:rsid w:val="00493213"/>
    <w:rsid w:val="004965AC"/>
    <w:rsid w:val="004C288A"/>
    <w:rsid w:val="004E0521"/>
    <w:rsid w:val="004E517C"/>
    <w:rsid w:val="004F2EDC"/>
    <w:rsid w:val="0050284D"/>
    <w:rsid w:val="005119B8"/>
    <w:rsid w:val="00562E2A"/>
    <w:rsid w:val="0059099B"/>
    <w:rsid w:val="00591064"/>
    <w:rsid w:val="005C15D8"/>
    <w:rsid w:val="005F53C8"/>
    <w:rsid w:val="0060580F"/>
    <w:rsid w:val="00632833"/>
    <w:rsid w:val="00636C38"/>
    <w:rsid w:val="00655451"/>
    <w:rsid w:val="00660F52"/>
    <w:rsid w:val="00674364"/>
    <w:rsid w:val="006926CB"/>
    <w:rsid w:val="006A3C3B"/>
    <w:rsid w:val="006B0F4A"/>
    <w:rsid w:val="006D0FA1"/>
    <w:rsid w:val="006E7DCB"/>
    <w:rsid w:val="006F77BD"/>
    <w:rsid w:val="00714C71"/>
    <w:rsid w:val="007170DD"/>
    <w:rsid w:val="00723854"/>
    <w:rsid w:val="007251E2"/>
    <w:rsid w:val="007328F5"/>
    <w:rsid w:val="0073785A"/>
    <w:rsid w:val="0074012B"/>
    <w:rsid w:val="00756145"/>
    <w:rsid w:val="00765E5C"/>
    <w:rsid w:val="00772D70"/>
    <w:rsid w:val="00784C48"/>
    <w:rsid w:val="007A3145"/>
    <w:rsid w:val="007A359E"/>
    <w:rsid w:val="007B3D1D"/>
    <w:rsid w:val="007E0834"/>
    <w:rsid w:val="007E322B"/>
    <w:rsid w:val="007F1587"/>
    <w:rsid w:val="008042BD"/>
    <w:rsid w:val="00804BDD"/>
    <w:rsid w:val="00806103"/>
    <w:rsid w:val="00807B81"/>
    <w:rsid w:val="00813479"/>
    <w:rsid w:val="00835BC7"/>
    <w:rsid w:val="0083769B"/>
    <w:rsid w:val="00841929"/>
    <w:rsid w:val="00862B55"/>
    <w:rsid w:val="00894497"/>
    <w:rsid w:val="008A00B5"/>
    <w:rsid w:val="008A0C0B"/>
    <w:rsid w:val="008B3FDA"/>
    <w:rsid w:val="008C2F62"/>
    <w:rsid w:val="008D49D5"/>
    <w:rsid w:val="008F2F7D"/>
    <w:rsid w:val="008F709B"/>
    <w:rsid w:val="00903C79"/>
    <w:rsid w:val="009070E5"/>
    <w:rsid w:val="00915663"/>
    <w:rsid w:val="0093065E"/>
    <w:rsid w:val="00930ABB"/>
    <w:rsid w:val="009378FA"/>
    <w:rsid w:val="0097026E"/>
    <w:rsid w:val="009928B8"/>
    <w:rsid w:val="009B15B2"/>
    <w:rsid w:val="009B4F75"/>
    <w:rsid w:val="009B7896"/>
    <w:rsid w:val="009D05FD"/>
    <w:rsid w:val="009D3B81"/>
    <w:rsid w:val="009D5D11"/>
    <w:rsid w:val="009D78DB"/>
    <w:rsid w:val="00A155B5"/>
    <w:rsid w:val="00A2391C"/>
    <w:rsid w:val="00A311F2"/>
    <w:rsid w:val="00A31B0A"/>
    <w:rsid w:val="00A506D5"/>
    <w:rsid w:val="00A956FA"/>
    <w:rsid w:val="00AA53B9"/>
    <w:rsid w:val="00AB4B41"/>
    <w:rsid w:val="00AC700A"/>
    <w:rsid w:val="00AD02E9"/>
    <w:rsid w:val="00AD3735"/>
    <w:rsid w:val="00AE2941"/>
    <w:rsid w:val="00B0309D"/>
    <w:rsid w:val="00B23753"/>
    <w:rsid w:val="00B26092"/>
    <w:rsid w:val="00B317DF"/>
    <w:rsid w:val="00B32027"/>
    <w:rsid w:val="00B5061A"/>
    <w:rsid w:val="00B73D1D"/>
    <w:rsid w:val="00B9434A"/>
    <w:rsid w:val="00BA3B63"/>
    <w:rsid w:val="00BA3D38"/>
    <w:rsid w:val="00BB5F34"/>
    <w:rsid w:val="00BC222B"/>
    <w:rsid w:val="00BD1155"/>
    <w:rsid w:val="00BD4B02"/>
    <w:rsid w:val="00BE03E8"/>
    <w:rsid w:val="00BE4BA7"/>
    <w:rsid w:val="00C00140"/>
    <w:rsid w:val="00C01BE1"/>
    <w:rsid w:val="00C02BED"/>
    <w:rsid w:val="00C03890"/>
    <w:rsid w:val="00C04802"/>
    <w:rsid w:val="00C311D0"/>
    <w:rsid w:val="00C40517"/>
    <w:rsid w:val="00C40AAE"/>
    <w:rsid w:val="00C7698A"/>
    <w:rsid w:val="00C80C16"/>
    <w:rsid w:val="00C83672"/>
    <w:rsid w:val="00C94A89"/>
    <w:rsid w:val="00CB26EF"/>
    <w:rsid w:val="00CC37EE"/>
    <w:rsid w:val="00CC7B92"/>
    <w:rsid w:val="00CD58C2"/>
    <w:rsid w:val="00CD6417"/>
    <w:rsid w:val="00CE6223"/>
    <w:rsid w:val="00CF1FE0"/>
    <w:rsid w:val="00CF4D78"/>
    <w:rsid w:val="00CF7394"/>
    <w:rsid w:val="00D1319A"/>
    <w:rsid w:val="00D455DF"/>
    <w:rsid w:val="00D638B6"/>
    <w:rsid w:val="00D64F70"/>
    <w:rsid w:val="00D7778F"/>
    <w:rsid w:val="00D821FA"/>
    <w:rsid w:val="00D8411D"/>
    <w:rsid w:val="00DA2435"/>
    <w:rsid w:val="00DA2E9A"/>
    <w:rsid w:val="00DC51FA"/>
    <w:rsid w:val="00DE3309"/>
    <w:rsid w:val="00DE393E"/>
    <w:rsid w:val="00DF59D4"/>
    <w:rsid w:val="00E05A1D"/>
    <w:rsid w:val="00E40797"/>
    <w:rsid w:val="00E56316"/>
    <w:rsid w:val="00E64C55"/>
    <w:rsid w:val="00E76145"/>
    <w:rsid w:val="00E8356C"/>
    <w:rsid w:val="00E90D81"/>
    <w:rsid w:val="00EA5E69"/>
    <w:rsid w:val="00EB540A"/>
    <w:rsid w:val="00EC6F48"/>
    <w:rsid w:val="00ED0EED"/>
    <w:rsid w:val="00ED30D7"/>
    <w:rsid w:val="00ED37DE"/>
    <w:rsid w:val="00EF73D1"/>
    <w:rsid w:val="00F00C5B"/>
    <w:rsid w:val="00F0393D"/>
    <w:rsid w:val="00F113FB"/>
    <w:rsid w:val="00F2394F"/>
    <w:rsid w:val="00F256EA"/>
    <w:rsid w:val="00F5646E"/>
    <w:rsid w:val="00F57B91"/>
    <w:rsid w:val="00F621B3"/>
    <w:rsid w:val="00F63C7E"/>
    <w:rsid w:val="00F70736"/>
    <w:rsid w:val="00F76B1C"/>
    <w:rsid w:val="00F81769"/>
    <w:rsid w:val="00F867CE"/>
    <w:rsid w:val="00F9373A"/>
    <w:rsid w:val="00FB2858"/>
    <w:rsid w:val="00FB74EE"/>
    <w:rsid w:val="00FD6240"/>
    <w:rsid w:val="2B136DD3"/>
    <w:rsid w:val="6A385B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76" w:lineRule="auto"/>
      <w:ind w:firstLine="360"/>
      <w:jc w:val="both"/>
    </w:pPr>
    <w:rPr>
      <w:rFonts w:ascii="Garamond" w:hAnsi="Garamond" w:eastAsiaTheme="minorEastAsia" w:cstheme="minorBidi"/>
      <w:sz w:val="24"/>
      <w:szCs w:val="22"/>
      <w:lang w:val="en-GB" w:eastAsia="en-US" w:bidi="ar-SA"/>
    </w:rPr>
  </w:style>
  <w:style w:type="paragraph" w:styleId="2">
    <w:name w:val="heading 1"/>
    <w:basedOn w:val="1"/>
    <w:next w:val="1"/>
    <w:link w:val="38"/>
    <w:qFormat/>
    <w:uiPriority w:val="9"/>
    <w:pPr>
      <w:pBdr>
        <w:bottom w:val="single" w:color="2E75B5" w:themeColor="accent1" w:themeShade="BF" w:sz="12" w:space="1"/>
      </w:pBdr>
      <w:spacing w:before="240" w:after="80"/>
      <w:ind w:firstLine="0"/>
      <w:outlineLvl w:val="0"/>
    </w:pPr>
    <w:rPr>
      <w:rFonts w:asciiTheme="majorHAnsi" w:hAnsiTheme="majorHAnsi" w:eastAsiaTheme="majorEastAsia" w:cstheme="majorBidi"/>
      <w:b/>
      <w:bCs/>
      <w:color w:val="2E75B6" w:themeColor="accent1" w:themeShade="BF"/>
      <w:sz w:val="32"/>
      <w:szCs w:val="24"/>
    </w:rPr>
  </w:style>
  <w:style w:type="paragraph" w:styleId="3">
    <w:name w:val="heading 2"/>
    <w:basedOn w:val="1"/>
    <w:next w:val="1"/>
    <w:link w:val="39"/>
    <w:unhideWhenUsed/>
    <w:qFormat/>
    <w:uiPriority w:val="9"/>
    <w:pPr>
      <w:pBdr>
        <w:bottom w:val="single" w:color="5B9BD5" w:themeColor="accent1" w:sz="8" w:space="1"/>
      </w:pBdr>
      <w:spacing w:before="200" w:after="80"/>
      <w:ind w:firstLine="0"/>
      <w:outlineLvl w:val="1"/>
    </w:pPr>
    <w:rPr>
      <w:rFonts w:asciiTheme="majorHAnsi" w:hAnsiTheme="majorHAnsi" w:eastAsiaTheme="majorEastAsia" w:cstheme="majorBidi"/>
      <w:b/>
      <w:color w:val="2E75B6" w:themeColor="accent1" w:themeShade="BF"/>
      <w:sz w:val="28"/>
      <w:szCs w:val="24"/>
    </w:rPr>
  </w:style>
  <w:style w:type="paragraph" w:styleId="4">
    <w:name w:val="heading 3"/>
    <w:basedOn w:val="1"/>
    <w:next w:val="1"/>
    <w:link w:val="40"/>
    <w:semiHidden/>
    <w:unhideWhenUsed/>
    <w:qFormat/>
    <w:uiPriority w:val="9"/>
    <w:pPr>
      <w:pBdr>
        <w:bottom w:val="single" w:color="9CC2E5" w:themeColor="accent1" w:themeTint="99" w:sz="4" w:space="1"/>
      </w:pBdr>
      <w:spacing w:before="200" w:after="80"/>
      <w:ind w:firstLine="0"/>
      <w:outlineLvl w:val="2"/>
    </w:pPr>
    <w:rPr>
      <w:rFonts w:asciiTheme="majorHAnsi" w:hAnsiTheme="majorHAnsi" w:eastAsiaTheme="majorEastAsia" w:cstheme="majorBidi"/>
      <w:color w:val="5B9BD5" w:themeColor="accent1"/>
      <w:szCs w:val="24"/>
      <w14:textFill>
        <w14:solidFill>
          <w14:schemeClr w14:val="accent1"/>
        </w14:solidFill>
      </w14:textFill>
    </w:rPr>
  </w:style>
  <w:style w:type="paragraph" w:styleId="5">
    <w:name w:val="heading 4"/>
    <w:basedOn w:val="1"/>
    <w:next w:val="1"/>
    <w:link w:val="41"/>
    <w:semiHidden/>
    <w:unhideWhenUsed/>
    <w:qFormat/>
    <w:uiPriority w:val="9"/>
    <w:pPr>
      <w:pBdr>
        <w:bottom w:val="single" w:color="BDD6EE" w:themeColor="accent1" w:themeTint="66" w:sz="4" w:space="2"/>
      </w:pBdr>
      <w:spacing w:before="200" w:after="80"/>
      <w:ind w:firstLine="0"/>
      <w:outlineLvl w:val="3"/>
    </w:pPr>
    <w:rPr>
      <w:rFonts w:asciiTheme="majorHAnsi" w:hAnsiTheme="majorHAnsi" w:eastAsiaTheme="majorEastAsia" w:cstheme="majorBidi"/>
      <w:i/>
      <w:iCs/>
      <w:color w:val="5B9BD5" w:themeColor="accent1"/>
      <w:szCs w:val="24"/>
      <w14:textFill>
        <w14:solidFill>
          <w14:schemeClr w14:val="accent1"/>
        </w14:solidFill>
      </w14:textFill>
    </w:rPr>
  </w:style>
  <w:style w:type="paragraph" w:styleId="6">
    <w:name w:val="heading 5"/>
    <w:basedOn w:val="1"/>
    <w:next w:val="1"/>
    <w:link w:val="42"/>
    <w:semiHidden/>
    <w:unhideWhenUsed/>
    <w:qFormat/>
    <w:uiPriority w:val="9"/>
    <w:pPr>
      <w:spacing w:before="200" w:after="80"/>
      <w:ind w:firstLine="0"/>
      <w:outlineLvl w:val="4"/>
    </w:pPr>
    <w:rPr>
      <w:rFonts w:asciiTheme="majorHAnsi" w:hAnsiTheme="majorHAnsi" w:eastAsiaTheme="majorEastAsia" w:cstheme="majorBidi"/>
      <w:color w:val="5B9BD5" w:themeColor="accent1"/>
      <w14:textFill>
        <w14:solidFill>
          <w14:schemeClr w14:val="accent1"/>
        </w14:solidFill>
      </w14:textFill>
    </w:rPr>
  </w:style>
  <w:style w:type="paragraph" w:styleId="7">
    <w:name w:val="heading 6"/>
    <w:basedOn w:val="1"/>
    <w:next w:val="1"/>
    <w:link w:val="43"/>
    <w:semiHidden/>
    <w:unhideWhenUsed/>
    <w:qFormat/>
    <w:uiPriority w:val="9"/>
    <w:pPr>
      <w:spacing w:before="280" w:after="100"/>
      <w:ind w:firstLine="0"/>
      <w:outlineLvl w:val="5"/>
    </w:pPr>
    <w:rPr>
      <w:rFonts w:asciiTheme="majorHAnsi" w:hAnsiTheme="majorHAnsi" w:eastAsiaTheme="majorEastAsia" w:cstheme="majorBidi"/>
      <w:i/>
      <w:iCs/>
      <w:color w:val="5B9BD5" w:themeColor="accent1"/>
      <w14:textFill>
        <w14:solidFill>
          <w14:schemeClr w14:val="accent1"/>
        </w14:solidFill>
      </w14:textFill>
    </w:rPr>
  </w:style>
  <w:style w:type="paragraph" w:styleId="8">
    <w:name w:val="heading 7"/>
    <w:basedOn w:val="1"/>
    <w:next w:val="1"/>
    <w:link w:val="44"/>
    <w:semiHidden/>
    <w:unhideWhenUsed/>
    <w:qFormat/>
    <w:uiPriority w:val="9"/>
    <w:pPr>
      <w:spacing w:before="320" w:after="100"/>
      <w:ind w:firstLine="0"/>
      <w:outlineLvl w:val="6"/>
    </w:pPr>
    <w:rPr>
      <w:rFonts w:asciiTheme="majorHAnsi" w:hAnsiTheme="majorHAnsi" w:eastAsiaTheme="majorEastAsia" w:cstheme="majorBidi"/>
      <w:b/>
      <w:bCs/>
      <w:color w:val="A5A5A5" w:themeColor="accent3"/>
      <w:sz w:val="20"/>
      <w:szCs w:val="20"/>
      <w14:textFill>
        <w14:solidFill>
          <w14:schemeClr w14:val="accent3"/>
        </w14:solidFill>
      </w14:textFill>
    </w:rPr>
  </w:style>
  <w:style w:type="paragraph" w:styleId="9">
    <w:name w:val="heading 8"/>
    <w:basedOn w:val="1"/>
    <w:next w:val="1"/>
    <w:link w:val="45"/>
    <w:semiHidden/>
    <w:unhideWhenUsed/>
    <w:qFormat/>
    <w:uiPriority w:val="9"/>
    <w:pPr>
      <w:spacing w:before="320" w:after="100"/>
      <w:ind w:firstLine="0"/>
      <w:outlineLvl w:val="7"/>
    </w:pPr>
    <w:rPr>
      <w:rFonts w:asciiTheme="majorHAnsi" w:hAnsiTheme="majorHAnsi" w:eastAsiaTheme="majorEastAsia" w:cstheme="majorBidi"/>
      <w:b/>
      <w:bCs/>
      <w:i/>
      <w:iCs/>
      <w:color w:val="A5A5A5" w:themeColor="accent3"/>
      <w:sz w:val="20"/>
      <w:szCs w:val="20"/>
      <w14:textFill>
        <w14:solidFill>
          <w14:schemeClr w14:val="accent3"/>
        </w14:solidFill>
      </w14:textFill>
    </w:rPr>
  </w:style>
  <w:style w:type="paragraph" w:styleId="10">
    <w:name w:val="heading 9"/>
    <w:basedOn w:val="1"/>
    <w:next w:val="1"/>
    <w:link w:val="46"/>
    <w:semiHidden/>
    <w:unhideWhenUsed/>
    <w:qFormat/>
    <w:uiPriority w:val="9"/>
    <w:pPr>
      <w:spacing w:before="320" w:after="100"/>
      <w:ind w:firstLine="0"/>
      <w:outlineLvl w:val="8"/>
    </w:pPr>
    <w:rPr>
      <w:rFonts w:asciiTheme="majorHAnsi" w:hAnsiTheme="majorHAnsi" w:eastAsiaTheme="majorEastAsia" w:cstheme="majorBidi"/>
      <w:i/>
      <w:iCs/>
      <w:color w:val="A5A5A5" w:themeColor="accent3"/>
      <w:sz w:val="20"/>
      <w:szCs w:val="20"/>
      <w14:textFill>
        <w14:solidFill>
          <w14:schemeClr w14:val="accent3"/>
        </w14:solidFill>
      </w14:textFill>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semiHidden/>
    <w:unhideWhenUsed/>
    <w:qFormat/>
    <w:uiPriority w:val="35"/>
    <w:rPr>
      <w:b/>
      <w:bCs/>
      <w:sz w:val="18"/>
      <w:szCs w:val="18"/>
    </w:rPr>
  </w:style>
  <w:style w:type="character" w:styleId="14">
    <w:name w:val="Emphasis"/>
    <w:qFormat/>
    <w:uiPriority w:val="20"/>
    <w:rPr>
      <w:b/>
      <w:bCs/>
      <w:i/>
      <w:iCs/>
      <w:color w:val="595959" w:themeColor="text1" w:themeTint="A6"/>
      <w14:textFill>
        <w14:solidFill>
          <w14:schemeClr w14:val="tx1">
            <w14:lumMod w14:val="65000"/>
            <w14:lumOff w14:val="35000"/>
          </w14:schemeClr>
        </w14:solidFill>
      </w14:textFill>
    </w:rPr>
  </w:style>
  <w:style w:type="character" w:styleId="15">
    <w:name w:val="endnote reference"/>
    <w:basedOn w:val="11"/>
    <w:semiHidden/>
    <w:unhideWhenUsed/>
    <w:uiPriority w:val="99"/>
    <w:rPr>
      <w:vertAlign w:val="superscript"/>
    </w:rPr>
  </w:style>
  <w:style w:type="paragraph" w:styleId="16">
    <w:name w:val="endnote text"/>
    <w:basedOn w:val="1"/>
    <w:link w:val="62"/>
    <w:semiHidden/>
    <w:unhideWhenUsed/>
    <w:uiPriority w:val="99"/>
    <w:pPr>
      <w:spacing w:before="0" w:after="0" w:line="240" w:lineRule="auto"/>
    </w:pPr>
    <w:rPr>
      <w:sz w:val="20"/>
      <w:szCs w:val="20"/>
    </w:rPr>
  </w:style>
  <w:style w:type="paragraph" w:styleId="17">
    <w:name w:val="footer"/>
    <w:basedOn w:val="1"/>
    <w:link w:val="60"/>
    <w:unhideWhenUsed/>
    <w:uiPriority w:val="99"/>
    <w:pPr>
      <w:tabs>
        <w:tab w:val="center" w:pos="4513"/>
        <w:tab w:val="right" w:pos="9026"/>
      </w:tabs>
    </w:pPr>
  </w:style>
  <w:style w:type="character" w:styleId="18">
    <w:name w:val="footnote reference"/>
    <w:basedOn w:val="11"/>
    <w:unhideWhenUsed/>
    <w:uiPriority w:val="99"/>
    <w:rPr>
      <w:vertAlign w:val="superscript"/>
    </w:rPr>
  </w:style>
  <w:style w:type="paragraph" w:styleId="19">
    <w:name w:val="footnote text"/>
    <w:basedOn w:val="1"/>
    <w:link w:val="61"/>
    <w:unhideWhenUsed/>
    <w:uiPriority w:val="99"/>
    <w:pPr>
      <w:spacing w:before="0" w:after="0" w:line="240" w:lineRule="auto"/>
    </w:pPr>
    <w:rPr>
      <w:szCs w:val="24"/>
    </w:rPr>
  </w:style>
  <w:style w:type="character" w:styleId="20">
    <w:name w:val="Hyperlink"/>
    <w:basedOn w:val="11"/>
    <w:unhideWhenUsed/>
    <w:uiPriority w:val="99"/>
    <w:rPr>
      <w:color w:val="0563C1" w:themeColor="hyperlink"/>
      <w:u w:val="single"/>
      <w14:textFill>
        <w14:solidFill>
          <w14:schemeClr w14:val="hlink"/>
        </w14:solidFill>
      </w14:textFill>
    </w:rPr>
  </w:style>
  <w:style w:type="paragraph" w:styleId="21">
    <w:name w:val="Normal (Web)"/>
    <w:basedOn w:val="1"/>
    <w:semiHidden/>
    <w:unhideWhenUsed/>
    <w:uiPriority w:val="99"/>
    <w:rPr>
      <w:rFonts w:ascii="Times New Roman" w:hAnsi="Times New Roman" w:cs="Times New Roman"/>
      <w:szCs w:val="24"/>
    </w:rPr>
  </w:style>
  <w:style w:type="character" w:styleId="22">
    <w:name w:val="page number"/>
    <w:basedOn w:val="11"/>
    <w:semiHidden/>
    <w:unhideWhenUsed/>
    <w:uiPriority w:val="99"/>
  </w:style>
  <w:style w:type="character" w:styleId="23">
    <w:name w:val="Strong"/>
    <w:basedOn w:val="11"/>
    <w:qFormat/>
    <w:uiPriority w:val="22"/>
    <w:rPr>
      <w:b/>
      <w:bCs/>
      <w:spacing w:val="0"/>
    </w:rPr>
  </w:style>
  <w:style w:type="paragraph" w:styleId="24">
    <w:name w:val="Subtitle"/>
    <w:basedOn w:val="1"/>
    <w:next w:val="1"/>
    <w:link w:val="47"/>
    <w:qFormat/>
    <w:uiPriority w:val="11"/>
    <w:pPr>
      <w:spacing w:before="200" w:after="900"/>
      <w:ind w:firstLine="0"/>
      <w:jc w:val="right"/>
    </w:pPr>
    <w:rPr>
      <w:i/>
      <w:iCs/>
      <w:szCs w:val="24"/>
    </w:rPr>
  </w:style>
  <w:style w:type="paragraph" w:styleId="25">
    <w:name w:val="Title"/>
    <w:basedOn w:val="1"/>
    <w:next w:val="1"/>
    <w:link w:val="37"/>
    <w:qFormat/>
    <w:uiPriority w:val="10"/>
    <w:pPr>
      <w:pBdr>
        <w:top w:val="single" w:color="ADCDEA" w:themeColor="accent1" w:themeTint="7F" w:sz="8" w:space="10"/>
        <w:bottom w:val="single" w:color="A5A5A5" w:themeColor="accent3" w:sz="24" w:space="15"/>
      </w:pBdr>
      <w:ind w:firstLine="0"/>
      <w:jc w:val="center"/>
    </w:pPr>
    <w:rPr>
      <w:rFonts w:asciiTheme="majorHAnsi" w:hAnsiTheme="majorHAnsi" w:eastAsiaTheme="majorEastAsia" w:cstheme="majorBidi"/>
      <w:b/>
      <w:iCs/>
      <w:color w:val="1F4E79" w:themeColor="accent1" w:themeShade="80"/>
      <w:sz w:val="60"/>
      <w:szCs w:val="60"/>
    </w:rPr>
  </w:style>
  <w:style w:type="paragraph" w:styleId="26">
    <w:name w:val="toc 1"/>
    <w:basedOn w:val="1"/>
    <w:next w:val="1"/>
    <w:autoRedefine/>
    <w:unhideWhenUsed/>
    <w:uiPriority w:val="39"/>
    <w:pPr>
      <w:spacing w:after="0"/>
      <w:jc w:val="left"/>
    </w:pPr>
    <w:rPr>
      <w:rFonts w:asciiTheme="minorHAnsi" w:hAnsiTheme="minorHAnsi"/>
      <w:b/>
      <w:bCs/>
      <w:caps/>
      <w:sz w:val="22"/>
    </w:rPr>
  </w:style>
  <w:style w:type="paragraph" w:styleId="27">
    <w:name w:val="toc 2"/>
    <w:basedOn w:val="1"/>
    <w:next w:val="1"/>
    <w:autoRedefine/>
    <w:unhideWhenUsed/>
    <w:uiPriority w:val="39"/>
    <w:pPr>
      <w:spacing w:before="0" w:after="0"/>
      <w:ind w:left="240"/>
      <w:jc w:val="left"/>
    </w:pPr>
    <w:rPr>
      <w:rFonts w:asciiTheme="minorHAnsi" w:hAnsiTheme="minorHAnsi"/>
      <w:smallCaps/>
      <w:sz w:val="22"/>
    </w:rPr>
  </w:style>
  <w:style w:type="paragraph" w:styleId="28">
    <w:name w:val="toc 3"/>
    <w:basedOn w:val="1"/>
    <w:next w:val="1"/>
    <w:autoRedefine/>
    <w:semiHidden/>
    <w:unhideWhenUsed/>
    <w:uiPriority w:val="39"/>
    <w:pPr>
      <w:spacing w:before="0" w:after="0"/>
      <w:ind w:left="480"/>
      <w:jc w:val="left"/>
    </w:pPr>
    <w:rPr>
      <w:rFonts w:asciiTheme="minorHAnsi" w:hAnsiTheme="minorHAnsi"/>
      <w:i/>
      <w:iCs/>
      <w:sz w:val="22"/>
    </w:rPr>
  </w:style>
  <w:style w:type="paragraph" w:styleId="29">
    <w:name w:val="toc 4"/>
    <w:basedOn w:val="1"/>
    <w:next w:val="1"/>
    <w:autoRedefine/>
    <w:semiHidden/>
    <w:unhideWhenUsed/>
    <w:uiPriority w:val="39"/>
    <w:pPr>
      <w:spacing w:before="0" w:after="0"/>
      <w:ind w:left="720"/>
      <w:jc w:val="left"/>
    </w:pPr>
    <w:rPr>
      <w:rFonts w:asciiTheme="minorHAnsi" w:hAnsiTheme="minorHAnsi"/>
      <w:sz w:val="18"/>
      <w:szCs w:val="18"/>
    </w:rPr>
  </w:style>
  <w:style w:type="paragraph" w:styleId="30">
    <w:name w:val="toc 5"/>
    <w:basedOn w:val="1"/>
    <w:next w:val="1"/>
    <w:autoRedefine/>
    <w:semiHidden/>
    <w:unhideWhenUsed/>
    <w:uiPriority w:val="39"/>
    <w:pPr>
      <w:spacing w:before="0" w:after="0"/>
      <w:ind w:left="960"/>
      <w:jc w:val="left"/>
    </w:pPr>
    <w:rPr>
      <w:rFonts w:asciiTheme="minorHAnsi" w:hAnsiTheme="minorHAnsi"/>
      <w:sz w:val="18"/>
      <w:szCs w:val="18"/>
    </w:rPr>
  </w:style>
  <w:style w:type="paragraph" w:styleId="31">
    <w:name w:val="toc 6"/>
    <w:basedOn w:val="1"/>
    <w:next w:val="1"/>
    <w:autoRedefine/>
    <w:semiHidden/>
    <w:unhideWhenUsed/>
    <w:uiPriority w:val="39"/>
    <w:pPr>
      <w:spacing w:before="0" w:after="0"/>
      <w:ind w:left="1200"/>
      <w:jc w:val="left"/>
    </w:pPr>
    <w:rPr>
      <w:rFonts w:asciiTheme="minorHAnsi" w:hAnsiTheme="minorHAnsi"/>
      <w:sz w:val="18"/>
      <w:szCs w:val="18"/>
    </w:rPr>
  </w:style>
  <w:style w:type="paragraph" w:styleId="32">
    <w:name w:val="toc 7"/>
    <w:basedOn w:val="1"/>
    <w:next w:val="1"/>
    <w:autoRedefine/>
    <w:semiHidden/>
    <w:unhideWhenUsed/>
    <w:uiPriority w:val="39"/>
    <w:pPr>
      <w:spacing w:before="0" w:after="0"/>
      <w:ind w:left="1440"/>
      <w:jc w:val="left"/>
    </w:pPr>
    <w:rPr>
      <w:rFonts w:asciiTheme="minorHAnsi" w:hAnsiTheme="minorHAnsi"/>
      <w:sz w:val="18"/>
      <w:szCs w:val="18"/>
    </w:rPr>
  </w:style>
  <w:style w:type="paragraph" w:styleId="33">
    <w:name w:val="toc 8"/>
    <w:basedOn w:val="1"/>
    <w:next w:val="1"/>
    <w:autoRedefine/>
    <w:semiHidden/>
    <w:unhideWhenUsed/>
    <w:uiPriority w:val="39"/>
    <w:pPr>
      <w:spacing w:before="0" w:after="0"/>
      <w:ind w:left="1680"/>
      <w:jc w:val="left"/>
    </w:pPr>
    <w:rPr>
      <w:rFonts w:asciiTheme="minorHAnsi" w:hAnsiTheme="minorHAnsi"/>
      <w:sz w:val="18"/>
      <w:szCs w:val="18"/>
    </w:rPr>
  </w:style>
  <w:style w:type="paragraph" w:styleId="34">
    <w:name w:val="toc 9"/>
    <w:basedOn w:val="1"/>
    <w:next w:val="1"/>
    <w:autoRedefine/>
    <w:semiHidden/>
    <w:unhideWhenUsed/>
    <w:uiPriority w:val="39"/>
    <w:pPr>
      <w:spacing w:before="0" w:after="0"/>
      <w:ind w:left="1920"/>
      <w:jc w:val="left"/>
    </w:pPr>
    <w:rPr>
      <w:rFonts w:asciiTheme="minorHAnsi" w:hAnsiTheme="minorHAnsi"/>
      <w:sz w:val="18"/>
      <w:szCs w:val="18"/>
    </w:rPr>
  </w:style>
  <w:style w:type="paragraph" w:styleId="35">
    <w:name w:val="List Paragraph"/>
    <w:basedOn w:val="1"/>
    <w:qFormat/>
    <w:uiPriority w:val="34"/>
    <w:pPr>
      <w:ind w:left="720"/>
      <w:contextualSpacing/>
    </w:pPr>
  </w:style>
  <w:style w:type="paragraph" w:customStyle="1" w:styleId="36">
    <w:name w:val="Personal Name"/>
    <w:basedOn w:val="25"/>
    <w:qFormat/>
    <w:uiPriority w:val="0"/>
    <w:rPr>
      <w:b w:val="0"/>
      <w:caps/>
      <w:color w:val="000000"/>
      <w:sz w:val="28"/>
      <w:szCs w:val="28"/>
    </w:rPr>
  </w:style>
  <w:style w:type="character" w:customStyle="1" w:styleId="37">
    <w:name w:val="Title Char"/>
    <w:basedOn w:val="11"/>
    <w:link w:val="25"/>
    <w:uiPriority w:val="10"/>
    <w:rPr>
      <w:rFonts w:asciiTheme="majorHAnsi" w:hAnsiTheme="majorHAnsi" w:eastAsiaTheme="majorEastAsia" w:cstheme="majorBidi"/>
      <w:b/>
      <w:iCs/>
      <w:color w:val="1F4E79" w:themeColor="accent1" w:themeShade="80"/>
      <w:sz w:val="60"/>
      <w:szCs w:val="60"/>
    </w:rPr>
  </w:style>
  <w:style w:type="character" w:customStyle="1" w:styleId="38">
    <w:name w:val="Heading 1 Char"/>
    <w:basedOn w:val="11"/>
    <w:link w:val="2"/>
    <w:qFormat/>
    <w:uiPriority w:val="9"/>
    <w:rPr>
      <w:rFonts w:asciiTheme="majorHAnsi" w:hAnsiTheme="majorHAnsi" w:eastAsiaTheme="majorEastAsia" w:cstheme="majorBidi"/>
      <w:b/>
      <w:bCs/>
      <w:color w:val="2E75B6" w:themeColor="accent1" w:themeShade="BF"/>
      <w:sz w:val="32"/>
      <w:szCs w:val="24"/>
    </w:rPr>
  </w:style>
  <w:style w:type="character" w:customStyle="1" w:styleId="39">
    <w:name w:val="Heading 2 Char"/>
    <w:basedOn w:val="11"/>
    <w:link w:val="3"/>
    <w:uiPriority w:val="9"/>
    <w:rPr>
      <w:rFonts w:asciiTheme="majorHAnsi" w:hAnsiTheme="majorHAnsi" w:eastAsiaTheme="majorEastAsia" w:cstheme="majorBidi"/>
      <w:b/>
      <w:color w:val="2E75B6" w:themeColor="accent1" w:themeShade="BF"/>
      <w:sz w:val="28"/>
      <w:szCs w:val="24"/>
    </w:rPr>
  </w:style>
  <w:style w:type="character" w:customStyle="1" w:styleId="40">
    <w:name w:val="Heading 3 Char"/>
    <w:basedOn w:val="11"/>
    <w:link w:val="4"/>
    <w:semiHidden/>
    <w:uiPriority w:val="9"/>
    <w:rPr>
      <w:rFonts w:asciiTheme="majorHAnsi" w:hAnsiTheme="majorHAnsi" w:eastAsiaTheme="majorEastAsia" w:cstheme="majorBidi"/>
      <w:color w:val="5B9BD5" w:themeColor="accent1"/>
      <w:sz w:val="24"/>
      <w:szCs w:val="24"/>
      <w14:textFill>
        <w14:solidFill>
          <w14:schemeClr w14:val="accent1"/>
        </w14:solidFill>
      </w14:textFill>
    </w:rPr>
  </w:style>
  <w:style w:type="character" w:customStyle="1" w:styleId="41">
    <w:name w:val="Heading 4 Char"/>
    <w:basedOn w:val="11"/>
    <w:link w:val="5"/>
    <w:semiHidden/>
    <w:qFormat/>
    <w:uiPriority w:val="9"/>
    <w:rPr>
      <w:rFonts w:asciiTheme="majorHAnsi" w:hAnsiTheme="majorHAnsi" w:eastAsiaTheme="majorEastAsia" w:cstheme="majorBidi"/>
      <w:i/>
      <w:iCs/>
      <w:color w:val="5B9BD5" w:themeColor="accent1"/>
      <w:sz w:val="24"/>
      <w:szCs w:val="24"/>
      <w14:textFill>
        <w14:solidFill>
          <w14:schemeClr w14:val="accent1"/>
        </w14:solidFill>
      </w14:textFill>
    </w:rPr>
  </w:style>
  <w:style w:type="character" w:customStyle="1" w:styleId="42">
    <w:name w:val="Heading 5 Char"/>
    <w:basedOn w:val="11"/>
    <w:link w:val="6"/>
    <w:semiHidden/>
    <w:uiPriority w:val="9"/>
    <w:rPr>
      <w:rFonts w:asciiTheme="majorHAnsi" w:hAnsiTheme="majorHAnsi" w:eastAsiaTheme="majorEastAsia" w:cstheme="majorBidi"/>
      <w:color w:val="5B9BD5" w:themeColor="accent1"/>
      <w14:textFill>
        <w14:solidFill>
          <w14:schemeClr w14:val="accent1"/>
        </w14:solidFill>
      </w14:textFill>
    </w:rPr>
  </w:style>
  <w:style w:type="character" w:customStyle="1" w:styleId="43">
    <w:name w:val="Heading 6 Char"/>
    <w:basedOn w:val="11"/>
    <w:link w:val="7"/>
    <w:semiHidden/>
    <w:uiPriority w:val="9"/>
    <w:rPr>
      <w:rFonts w:asciiTheme="majorHAnsi" w:hAnsiTheme="majorHAnsi" w:eastAsiaTheme="majorEastAsia" w:cstheme="majorBidi"/>
      <w:i/>
      <w:iCs/>
      <w:color w:val="5B9BD5" w:themeColor="accent1"/>
      <w14:textFill>
        <w14:solidFill>
          <w14:schemeClr w14:val="accent1"/>
        </w14:solidFill>
      </w14:textFill>
    </w:rPr>
  </w:style>
  <w:style w:type="character" w:customStyle="1" w:styleId="44">
    <w:name w:val="Heading 7 Char"/>
    <w:basedOn w:val="11"/>
    <w:link w:val="8"/>
    <w:semiHidden/>
    <w:uiPriority w:val="9"/>
    <w:rPr>
      <w:rFonts w:asciiTheme="majorHAnsi" w:hAnsiTheme="majorHAnsi" w:eastAsiaTheme="majorEastAsia" w:cstheme="majorBidi"/>
      <w:b/>
      <w:bCs/>
      <w:color w:val="A5A5A5" w:themeColor="accent3"/>
      <w:sz w:val="20"/>
      <w:szCs w:val="20"/>
      <w14:textFill>
        <w14:solidFill>
          <w14:schemeClr w14:val="accent3"/>
        </w14:solidFill>
      </w14:textFill>
    </w:rPr>
  </w:style>
  <w:style w:type="character" w:customStyle="1" w:styleId="45">
    <w:name w:val="Heading 8 Char"/>
    <w:basedOn w:val="11"/>
    <w:link w:val="9"/>
    <w:semiHidden/>
    <w:uiPriority w:val="9"/>
    <w:rPr>
      <w:rFonts w:asciiTheme="majorHAnsi" w:hAnsiTheme="majorHAnsi" w:eastAsiaTheme="majorEastAsia" w:cstheme="majorBidi"/>
      <w:b/>
      <w:bCs/>
      <w:i/>
      <w:iCs/>
      <w:color w:val="A5A5A5" w:themeColor="accent3"/>
      <w:sz w:val="20"/>
      <w:szCs w:val="20"/>
      <w14:textFill>
        <w14:solidFill>
          <w14:schemeClr w14:val="accent3"/>
        </w14:solidFill>
      </w14:textFill>
    </w:rPr>
  </w:style>
  <w:style w:type="character" w:customStyle="1" w:styleId="46">
    <w:name w:val="Heading 9 Char"/>
    <w:basedOn w:val="11"/>
    <w:link w:val="10"/>
    <w:semiHidden/>
    <w:uiPriority w:val="9"/>
    <w:rPr>
      <w:rFonts w:asciiTheme="majorHAnsi" w:hAnsiTheme="majorHAnsi" w:eastAsiaTheme="majorEastAsia" w:cstheme="majorBidi"/>
      <w:i/>
      <w:iCs/>
      <w:color w:val="A5A5A5" w:themeColor="accent3"/>
      <w:sz w:val="20"/>
      <w:szCs w:val="20"/>
      <w14:textFill>
        <w14:solidFill>
          <w14:schemeClr w14:val="accent3"/>
        </w14:solidFill>
      </w14:textFill>
    </w:rPr>
  </w:style>
  <w:style w:type="character" w:customStyle="1" w:styleId="47">
    <w:name w:val="Subtitle Char"/>
    <w:basedOn w:val="11"/>
    <w:link w:val="24"/>
    <w:uiPriority w:val="11"/>
    <w:rPr>
      <w:i/>
      <w:iCs/>
      <w:sz w:val="24"/>
      <w:szCs w:val="24"/>
    </w:rPr>
  </w:style>
  <w:style w:type="paragraph" w:styleId="48">
    <w:name w:val="No Spacing"/>
    <w:basedOn w:val="1"/>
    <w:link w:val="49"/>
    <w:qFormat/>
    <w:uiPriority w:val="1"/>
    <w:pPr>
      <w:ind w:firstLine="0"/>
    </w:pPr>
  </w:style>
  <w:style w:type="character" w:customStyle="1" w:styleId="49">
    <w:name w:val="No Spacing Char"/>
    <w:basedOn w:val="11"/>
    <w:link w:val="48"/>
    <w:uiPriority w:val="1"/>
  </w:style>
  <w:style w:type="paragraph" w:styleId="50">
    <w:name w:val="Quote"/>
    <w:basedOn w:val="1"/>
    <w:next w:val="1"/>
    <w:link w:val="51"/>
    <w:qFormat/>
    <w:uiPriority w:val="29"/>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51">
    <w:name w:val="Quote Char"/>
    <w:basedOn w:val="11"/>
    <w:link w:val="50"/>
    <w:uiPriority w:val="29"/>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52">
    <w:name w:val="Intense Quote"/>
    <w:basedOn w:val="1"/>
    <w:next w:val="1"/>
    <w:link w:val="53"/>
    <w:qFormat/>
    <w:uiPriority w:val="30"/>
    <w:pPr>
      <w:pBdr>
        <w:top w:val="single" w:color="BDD6EE" w:themeColor="accent1" w:themeTint="66" w:sz="12" w:space="10"/>
        <w:left w:val="single" w:color="5B9BD5" w:themeColor="accent1" w:sz="36" w:space="4"/>
        <w:bottom w:val="single" w:color="A5A5A5" w:themeColor="accent3" w:sz="24" w:space="10"/>
        <w:right w:val="single" w:color="5B9BD5" w:themeColor="accent1" w:sz="36" w:space="4"/>
      </w:pBdr>
      <w:shd w:val="clear" w:color="auto" w:fill="5B9BD5" w:themeFill="accent1"/>
      <w:spacing w:before="320" w:after="320" w:line="300" w:lineRule="auto"/>
      <w:ind w:left="1440" w:right="1440"/>
    </w:pPr>
    <w:rPr>
      <w:rFonts w:asciiTheme="majorHAnsi" w:hAnsiTheme="majorHAnsi" w:eastAsiaTheme="majorEastAsia" w:cstheme="majorBidi"/>
      <w:i/>
      <w:iCs/>
      <w:color w:val="FFFFFF" w:themeColor="background1"/>
      <w:szCs w:val="24"/>
      <w14:textFill>
        <w14:solidFill>
          <w14:schemeClr w14:val="bg1"/>
        </w14:solidFill>
      </w14:textFill>
    </w:rPr>
  </w:style>
  <w:style w:type="character" w:customStyle="1" w:styleId="53">
    <w:name w:val="Intense Quote Char"/>
    <w:basedOn w:val="11"/>
    <w:link w:val="52"/>
    <w:uiPriority w:val="30"/>
    <w:rPr>
      <w:rFonts w:asciiTheme="majorHAnsi" w:hAnsiTheme="majorHAnsi" w:eastAsiaTheme="majorEastAsia" w:cstheme="majorBidi"/>
      <w:i/>
      <w:iCs/>
      <w:color w:val="FFFFFF" w:themeColor="background1"/>
      <w:sz w:val="24"/>
      <w:szCs w:val="24"/>
      <w:shd w:val="clear" w:color="auto" w:fill="5B9BD5" w:themeFill="accent1"/>
      <w14:textFill>
        <w14:solidFill>
          <w14:schemeClr w14:val="bg1"/>
        </w14:solidFill>
      </w14:textFill>
    </w:rPr>
  </w:style>
  <w:style w:type="character" w:customStyle="1" w:styleId="54">
    <w:name w:val="Subtle Emphasis"/>
    <w:qFormat/>
    <w:uiPriority w:val="19"/>
    <w:rPr>
      <w:i/>
      <w:iCs/>
      <w:color w:val="595959" w:themeColor="text1" w:themeTint="A6"/>
      <w14:textFill>
        <w14:solidFill>
          <w14:schemeClr w14:val="tx1">
            <w14:lumMod w14:val="65000"/>
            <w14:lumOff w14:val="35000"/>
          </w14:schemeClr>
        </w14:solidFill>
      </w14:textFill>
    </w:rPr>
  </w:style>
  <w:style w:type="character" w:customStyle="1" w:styleId="55">
    <w:name w:val="Intense Emphasis"/>
    <w:qFormat/>
    <w:uiPriority w:val="21"/>
    <w:rPr>
      <w:b/>
      <w:bCs/>
      <w:i/>
      <w:iCs/>
      <w:color w:val="5B9BD5" w:themeColor="accent1"/>
      <w:sz w:val="22"/>
      <w:szCs w:val="22"/>
      <w14:textFill>
        <w14:solidFill>
          <w14:schemeClr w14:val="accent1"/>
        </w14:solidFill>
      </w14:textFill>
    </w:rPr>
  </w:style>
  <w:style w:type="character" w:customStyle="1" w:styleId="56">
    <w:name w:val="Subtle Reference"/>
    <w:qFormat/>
    <w:uiPriority w:val="31"/>
    <w:rPr>
      <w:color w:val="auto"/>
      <w:u w:val="single" w:color="A5A5A5" w:themeColor="accent3"/>
    </w:rPr>
  </w:style>
  <w:style w:type="character" w:customStyle="1" w:styleId="57">
    <w:name w:val="Intense Reference"/>
    <w:basedOn w:val="11"/>
    <w:qFormat/>
    <w:uiPriority w:val="32"/>
    <w:rPr>
      <w:b/>
      <w:bCs/>
      <w:color w:val="7C7C7C" w:themeColor="accent3" w:themeShade="BF"/>
      <w:u w:val="single" w:color="A5A5A5" w:themeColor="accent3"/>
    </w:rPr>
  </w:style>
  <w:style w:type="character" w:customStyle="1" w:styleId="58">
    <w:name w:val="Book Title"/>
    <w:basedOn w:val="11"/>
    <w:qFormat/>
    <w:uiPriority w:val="33"/>
    <w:rPr>
      <w:rFonts w:asciiTheme="majorHAnsi" w:hAnsiTheme="majorHAnsi" w:eastAsiaTheme="majorEastAsia" w:cstheme="majorBidi"/>
      <w:b/>
      <w:bCs/>
      <w:i/>
      <w:iCs/>
      <w:color w:val="auto"/>
    </w:rPr>
  </w:style>
  <w:style w:type="paragraph" w:customStyle="1" w:styleId="59">
    <w:name w:val="TOC Heading"/>
    <w:basedOn w:val="2"/>
    <w:next w:val="1"/>
    <w:unhideWhenUsed/>
    <w:qFormat/>
    <w:uiPriority w:val="39"/>
    <w:pPr>
      <w:outlineLvl w:val="9"/>
    </w:pPr>
  </w:style>
  <w:style w:type="character" w:customStyle="1" w:styleId="60">
    <w:name w:val="Footer Char"/>
    <w:basedOn w:val="11"/>
    <w:link w:val="17"/>
    <w:uiPriority w:val="99"/>
  </w:style>
  <w:style w:type="character" w:customStyle="1" w:styleId="61">
    <w:name w:val="Footnote Text Char"/>
    <w:basedOn w:val="11"/>
    <w:link w:val="19"/>
    <w:uiPriority w:val="99"/>
    <w:rPr>
      <w:rFonts w:ascii="Garamond" w:hAnsi="Garamond"/>
      <w:sz w:val="24"/>
      <w:szCs w:val="24"/>
    </w:rPr>
  </w:style>
  <w:style w:type="character" w:customStyle="1" w:styleId="62">
    <w:name w:val="Endnote Text Char"/>
    <w:basedOn w:val="11"/>
    <w:link w:val="16"/>
    <w:semiHidden/>
    <w:uiPriority w:val="99"/>
    <w:rPr>
      <w:rFonts w:ascii="Garamond" w:hAnsi="Garamond"/>
      <w:sz w:val="20"/>
      <w:szCs w:val="20"/>
    </w:rPr>
  </w:style>
  <w:style w:type="character" w:customStyle="1" w:styleId="63">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12632FD5FAA8B47A06210A09748D7AE"/>
        <w:style w:val=""/>
        <w:category>
          <w:name w:val="General"/>
          <w:gallery w:val="placeholder"/>
        </w:category>
        <w:types>
          <w:type w:val="bbPlcHdr"/>
        </w:types>
        <w:behaviors>
          <w:behavior w:val="content"/>
        </w:behaviors>
        <w:description w:val=""/>
        <w:guid w:val="{C09AF120-0A56-DD41-98F9-3C0E5AA62080}"/>
      </w:docPartPr>
      <w:docPartBody>
        <w:p w14:paraId="7E77D1DC">
          <w:pPr>
            <w:pStyle w:val="4"/>
          </w:pPr>
          <w:r>
            <w:rPr>
              <w:rFonts w:asciiTheme="majorHAnsi" w:hAnsiTheme="majorHAnsi" w:eastAsiaTheme="majorEastAsia" w:cstheme="majorBidi"/>
              <w:caps/>
              <w:color w:val="5B9BD5" w:themeColor="accent1"/>
              <w:sz w:val="80"/>
              <w:szCs w:val="80"/>
              <w14:textFill>
                <w14:solidFill>
                  <w14:schemeClr w14:val="accent1"/>
                </w14:solidFill>
              </w14:textFill>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altName w:val="SimSun"/>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DengXian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B8"/>
    <w:rsid w:val="00166880"/>
    <w:rsid w:val="00251EB8"/>
    <w:rsid w:val="00587ABD"/>
    <w:rsid w:val="009A48A0"/>
    <w:rsid w:val="00A506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rPr>
      <w:rFonts w:asciiTheme="minorHAnsi" w:hAnsiTheme="minorHAnsi" w:eastAsiaTheme="minorEastAsia" w:cstheme="minorBidi"/>
      <w:sz w:val="24"/>
      <w:szCs w:val="24"/>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C12632FD5FAA8B47A06210A09748D7AE"/>
    <w:qFormat/>
    <w:uiPriority w:val="0"/>
    <w:rPr>
      <w:rFonts w:asciiTheme="minorHAnsi" w:hAnsiTheme="minorHAnsi" w:eastAsiaTheme="minorEastAsia" w:cstheme="minorBidi"/>
      <w:sz w:val="24"/>
      <w:szCs w:val="24"/>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BFA82D-A9CF-4346-A833-12FA25A1902D}">
  <ds:schemaRefs/>
</ds:datastoreItem>
</file>

<file path=docProps/app.xml><?xml version="1.0" encoding="utf-8"?>
<Properties xmlns="http://schemas.openxmlformats.org/officeDocument/2006/extended-properties" xmlns:vt="http://schemas.openxmlformats.org/officeDocument/2006/docPropsVTypes">
  <Template>Normal</Template>
  <Pages>14</Pages>
  <Words>4648</Words>
  <Characters>27518</Characters>
  <Lines>458</Lines>
  <Paragraphs>177</Paragraphs>
  <TotalTime>3</TotalTime>
  <ScaleCrop>false</ScaleCrop>
  <LinksUpToDate>false</LinksUpToDate>
  <CharactersWithSpaces>31989</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2024-09-10T11:59:00Z</dcterms:created>
  <dc:creator>Microsoft Office User</dc:creator>
  <cp:lastModifiedBy>Fauzia Shaheen</cp:lastModifiedBy>
  <dcterms:modified xsi:type="dcterms:W3CDTF">2024-10-08T10:38:24Z</dcterms:modified>
  <dc:subject>Government of Balochistan</dc:subject>
  <dc:title>Balochistan Transgender Rights Policy</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fd8271fdd282ca1cd6f257e06521fa768576d393f716b8d2e2d619b0a3b3b84a</vt:lpwstr>
  </property>
  <property fmtid="{D5CDD505-2E9C-101B-9397-08002B2CF9AE}" pid="3" name="KSOProductBuildVer">
    <vt:lpwstr>1033-12.2.0.17562</vt:lpwstr>
  </property>
  <property fmtid="{D5CDD505-2E9C-101B-9397-08002B2CF9AE}" pid="4" name="ICV">
    <vt:lpwstr>2F4A909FF2FA419996668FEA02D81E90_13</vt:lpwstr>
  </property>
</Properties>
</file>